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0"/>
          <w:szCs w:val="20"/>
        </w:rPr>
      </w:pPr>
      <w:r>
        <w:rPr>
          <w:rFonts w:hint="default" w:ascii="Times New Roman" w:hAnsi="Times New Roman" w:cs="Times New Roman"/>
          <w:sz w:val="20"/>
          <w:szCs w:val="20"/>
          <w:lang w:val="en-GB"/>
        </w:rPr>
        <w:t xml:space="preserve">Federal State Budgetary Scientific Institution </w:t>
      </w:r>
      <w:r>
        <w:rPr>
          <w:rFonts w:hint="default" w:ascii="Times New Roman" w:hAnsi="Times New Roman" w:cs="Times New Roman"/>
          <w:sz w:val="20"/>
          <w:szCs w:val="20"/>
        </w:rPr>
        <w:t>Institute of Philosophy and Law</w:t>
      </w:r>
    </w:p>
    <w:p>
      <w:pPr>
        <w:jc w:val="center"/>
        <w:rPr>
          <w:rFonts w:hint="default" w:ascii="Times New Roman" w:hAnsi="Times New Roman" w:cs="Times New Roman"/>
          <w:sz w:val="20"/>
          <w:szCs w:val="20"/>
        </w:rPr>
      </w:pPr>
      <w:r>
        <w:rPr>
          <w:rFonts w:hint="default" w:ascii="Times New Roman" w:hAnsi="Times New Roman" w:cs="Times New Roman"/>
          <w:sz w:val="20"/>
          <w:szCs w:val="20"/>
        </w:rPr>
        <w:t>of the Siberian Branch of the Russian Academy of Sciences</w:t>
      </w: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Scientific Youth Council IPL SB RAS</w:t>
      </w:r>
    </w:p>
    <w:p>
      <w:pPr>
        <w:rPr>
          <w:rFonts w:hint="default" w:ascii="Times New Roman" w:hAnsi="Times New Roman" w:cs="Times New Roman"/>
          <w:sz w:val="20"/>
          <w:szCs w:val="20"/>
          <w:lang w:val="en-GB"/>
        </w:rPr>
      </w:pP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Novosibirsk National Research State University</w:t>
      </w: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Institute for the Philosophy and Law</w:t>
      </w:r>
    </w:p>
    <w:p>
      <w:pPr>
        <w:rPr>
          <w:rFonts w:hint="default" w:ascii="Times New Roman" w:hAnsi="Times New Roman" w:cs="Times New Roman"/>
          <w:sz w:val="20"/>
          <w:szCs w:val="20"/>
          <w:lang w:val="en-GB"/>
        </w:rPr>
      </w:pP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State Scientific Institution</w:t>
      </w: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Institute of Philosophy of the National Academy of Sciences of Belarus</w:t>
      </w:r>
    </w:p>
    <w:p>
      <w:pPr>
        <w:rPr>
          <w:rFonts w:hint="default" w:ascii="Times New Roman" w:hAnsi="Times New Roman" w:cs="Times New Roman"/>
          <w:sz w:val="20"/>
          <w:szCs w:val="20"/>
          <w:lang w:val="en-GB"/>
        </w:rPr>
      </w:pPr>
    </w:p>
    <w:p>
      <w:pPr>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XXI International Conference of Young Scientists </w:t>
      </w:r>
    </w:p>
    <w:p>
      <w:pPr>
        <w:jc w:val="center"/>
        <w:rPr>
          <w:rFonts w:hint="default" w:ascii="Times New Roman" w:hAnsi="Times New Roman" w:cs="Times New Roman"/>
          <w:sz w:val="24"/>
          <w:szCs w:val="24"/>
          <w:lang w:val="en-GB"/>
        </w:rPr>
      </w:pPr>
      <w:r>
        <w:rPr>
          <w:rFonts w:hint="default" w:ascii="Times New Roman" w:hAnsi="Times New Roman" w:cs="Times New Roman"/>
          <w:sz w:val="24"/>
          <w:szCs w:val="24"/>
          <w:lang w:val="en-GB"/>
        </w:rPr>
        <w:t>in the Humanities and Social Sciences</w:t>
      </w:r>
    </w:p>
    <w:p>
      <w:pPr>
        <w:jc w:val="center"/>
        <w:rPr>
          <w:rFonts w:hint="default" w:ascii="Times New Roman" w:hAnsi="Times New Roman" w:cs="Times New Roman"/>
          <w:sz w:val="24"/>
          <w:szCs w:val="24"/>
          <w:lang w:val="en-GB"/>
        </w:rPr>
      </w:pPr>
      <w:r>
        <w:rPr>
          <w:rFonts w:hint="default" w:ascii="Times New Roman" w:hAnsi="Times New Roman" w:cs="Times New Roman"/>
          <w:b/>
          <w:bCs/>
          <w:sz w:val="24"/>
          <w:szCs w:val="24"/>
          <w:lang w:val="en-GB"/>
        </w:rPr>
        <w:t>Human, Intelligence, Cognition</w:t>
      </w:r>
    </w:p>
    <w:p>
      <w:pPr>
        <w:rPr>
          <w:rFonts w:hint="default" w:ascii="Times New Roman" w:hAnsi="Times New Roman" w:cs="Times New Roman"/>
          <w:sz w:val="20"/>
          <w:szCs w:val="20"/>
          <w:lang w:val="en-GB"/>
        </w:rPr>
      </w:pP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October 17</w:t>
      </w:r>
      <w:r>
        <w:rPr>
          <w:rFonts w:ascii="Times New Roman" w:hAnsi="Times New Roman" w:cs="Times New Roman"/>
          <w:sz w:val="20"/>
          <w:szCs w:val="20"/>
        </w:rPr>
        <w:t>–</w:t>
      </w:r>
      <w:r>
        <w:rPr>
          <w:rFonts w:hint="default" w:ascii="Times New Roman" w:hAnsi="Times New Roman" w:cs="Times New Roman"/>
          <w:sz w:val="20"/>
          <w:szCs w:val="20"/>
          <w:lang w:val="en-GB"/>
        </w:rPr>
        <w:t>19, 2023</w:t>
      </w: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Novosibirsk, Akademgorodok</w:t>
      </w:r>
    </w:p>
    <w:p>
      <w:pPr>
        <w:rPr>
          <w:rFonts w:hint="default" w:ascii="Times New Roman" w:hAnsi="Times New Roman" w:cs="Times New Roman"/>
          <w:sz w:val="20"/>
          <w:szCs w:val="20"/>
          <w:lang w:val="en-GB"/>
        </w:rPr>
      </w:pPr>
    </w:p>
    <w:p>
      <w:pPr>
        <w:jc w:val="center"/>
        <w:rPr>
          <w:rFonts w:hint="default" w:ascii="Times New Roman" w:hAnsi="Times New Roman" w:cs="Times New Roman"/>
          <w:sz w:val="20"/>
          <w:szCs w:val="20"/>
          <w:lang w:val="en-GB"/>
        </w:rPr>
      </w:pPr>
      <w:r>
        <w:rPr>
          <w:rFonts w:hint="default" w:ascii="Times New Roman" w:hAnsi="Times New Roman" w:cs="Times New Roman"/>
          <w:sz w:val="20"/>
          <w:szCs w:val="20"/>
          <w:lang w:val="en-GB"/>
        </w:rPr>
        <w:t>Dear colleagues!</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We are pleased to invite you to participate in the XXI International Conference of Young Scientists in the Humanities and Social Sciences.</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GB"/>
        </w:rPr>
        <w:t>The event is held by the Institute of Philosophy and Law of the Siberian Branch of the Russian Academy of Sciences and Novosibirsk State University in cooperation with the Institute of Philosophy of the National Academ</w:t>
      </w:r>
      <w:bookmarkStart w:id="0" w:name="_GoBack"/>
      <w:bookmarkEnd w:id="0"/>
      <w:r>
        <w:rPr>
          <w:rFonts w:hint="default" w:ascii="Times New Roman" w:hAnsi="Times New Roman" w:cs="Times New Roman"/>
          <w:sz w:val="20"/>
          <w:szCs w:val="20"/>
          <w:lang w:val="en-GB"/>
        </w:rPr>
        <w:t>y of Sciences of Belarus.</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This year’s leading subject is “Human, Intelligence, Cognition.”</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What does it mean to be human? Is intelligence </w:t>
      </w:r>
      <w:r>
        <w:rPr>
          <w:rFonts w:ascii="Times New Roman" w:hAnsi="Times New Roman" w:cs="Times New Roman"/>
          <w:sz w:val="20"/>
          <w:szCs w:val="20"/>
        </w:rPr>
        <w:t>–</w:t>
      </w:r>
      <w:r>
        <w:rPr>
          <w:rFonts w:hint="default" w:ascii="Times New Roman" w:hAnsi="Times New Roman" w:cs="Times New Roman"/>
          <w:sz w:val="20"/>
          <w:szCs w:val="20"/>
          <w:lang w:val="en-GB"/>
        </w:rPr>
        <w:t xml:space="preserve"> an intrinsic and exclusive property of a human being? How is cognition possible for the individual and for the society in general?</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We encourage you to discuss these and many other issues in the following areas:</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History of Philosophy</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Analytical Philosophy</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Philosophy of Science and Artificial Intelligence</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Philosophy of Education and Sociology of Science</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Social and Philosophical Aspects of the Media</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Philosophy of Politics</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Social Philosophy</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Ethnology, Anthropology, and Cultural Studies</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 Legal Studies; Philosophy of Law</w:t>
      </w:r>
    </w:p>
    <w:p>
      <w:pPr>
        <w:ind w:firstLine="708" w:firstLineChars="0"/>
        <w:rPr>
          <w:rFonts w:hint="default" w:ascii="Times New Roman" w:hAnsi="Times New Roman" w:cs="Times New Roman"/>
          <w:sz w:val="20"/>
          <w:szCs w:val="20"/>
          <w:lang w:val="en-GB"/>
        </w:rPr>
      </w:pPr>
      <w:r>
        <w:rPr>
          <w:rFonts w:hint="default" w:ascii="Times New Roman" w:hAnsi="Times New Roman" w:cs="Times New Roman"/>
          <w:sz w:val="20"/>
          <w:szCs w:val="20"/>
          <w:lang w:val="en-GB"/>
        </w:rPr>
        <w:t>-Bioethics</w:t>
      </w:r>
    </w:p>
    <w:p>
      <w:pPr>
        <w:rPr>
          <w:rFonts w:hint="default" w:ascii="Times New Roman" w:hAnsi="Times New Roman" w:cs="Times New Roman"/>
          <w:sz w:val="20"/>
          <w:szCs w:val="20"/>
          <w:lang w:val="en-GB"/>
        </w:rPr>
      </w:pP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Undergraduates, postgraduates, young researchers, and university professors are welcome to participate in the Conference. Working languages of the Conference are Russian, Belarusian, and English. Intramural,</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en-GB"/>
        </w:rPr>
        <w:t>off-campus, and extramural participation is allowed.</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The Organizing Committee reserves the right to approve the papers for participation in the Conference, for publication, and for the assignment of the reports to the sections of the Conference. The requirements for the execution of the abstracts are in the Appendix to the Information Letter. Ceteris paribus, preference will be given to the application of an intramural participant. Please note that the off-campus form of attendance is available for non-resident participants or with the permission of the section convenor only.</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The proceedings of the Conference will be published in a special volume prior to the Conference. The volume will be indexed in the RSCI.</w:t>
      </w:r>
    </w:p>
    <w:p>
      <w:pPr>
        <w:ind w:firstLine="708" w:firstLineChars="0"/>
        <w:jc w:val="both"/>
        <w:rPr>
          <w:rFonts w:hint="default" w:ascii="Times New Roman" w:hAnsi="Times New Roman" w:cs="Times New Roman"/>
          <w:sz w:val="20"/>
          <w:szCs w:val="20"/>
          <w:lang w:val="en-GB"/>
        </w:rPr>
      </w:pPr>
      <w:r>
        <w:rPr>
          <w:rFonts w:hint="default" w:ascii="Times New Roman" w:hAnsi="Times New Roman" w:cs="Times New Roman"/>
          <w:sz w:val="20"/>
          <w:szCs w:val="20"/>
          <w:lang w:val="en-GB"/>
        </w:rPr>
        <w:t>Transportation and accommodation of non-resident participants will be at the cost of the contributing party.</w:t>
      </w:r>
    </w:p>
    <w:p>
      <w:pPr>
        <w:rPr>
          <w:rFonts w:hint="default" w:ascii="Times New Roman" w:hAnsi="Times New Roman" w:cs="Times New Roman"/>
          <w:sz w:val="20"/>
          <w:szCs w:val="20"/>
          <w:lang w:val="en-GB"/>
        </w:rPr>
      </w:pPr>
    </w:p>
    <w:p>
      <w:pPr>
        <w:ind w:firstLine="708" w:firstLineChars="0"/>
        <w:rPr>
          <w:rFonts w:hint="default" w:ascii="Times New Roman" w:hAnsi="Times New Roman" w:cs="Times New Roman"/>
          <w:b/>
          <w:bCs/>
          <w:sz w:val="20"/>
          <w:szCs w:val="20"/>
          <w:lang w:val="en-GB"/>
        </w:rPr>
      </w:pPr>
      <w:r>
        <w:rPr>
          <w:rFonts w:hint="default" w:ascii="Times New Roman" w:hAnsi="Times New Roman" w:cs="Times New Roman"/>
          <w:b/>
          <w:bCs/>
          <w:sz w:val="20"/>
          <w:szCs w:val="20"/>
          <w:lang w:val="en-GB"/>
        </w:rPr>
        <w:t>Key dates:</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June 10 </w:t>
      </w:r>
      <w:r>
        <w:rPr>
          <w:rFonts w:ascii="Times New Roman" w:hAnsi="Times New Roman" w:cs="Times New Roman"/>
          <w:sz w:val="20"/>
          <w:szCs w:val="20"/>
        </w:rPr>
        <w:t>–</w:t>
      </w:r>
      <w:r>
        <w:rPr>
          <w:rFonts w:hint="default" w:ascii="Times New Roman" w:hAnsi="Times New Roman" w:cs="Times New Roman"/>
          <w:sz w:val="20"/>
          <w:szCs w:val="20"/>
          <w:lang w:val="en-GB"/>
        </w:rPr>
        <w:t xml:space="preserve"> deadline for submission of applications and abstracts.</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September 1 </w:t>
      </w:r>
      <w:r>
        <w:rPr>
          <w:rFonts w:ascii="Times New Roman" w:hAnsi="Times New Roman" w:cs="Times New Roman"/>
          <w:sz w:val="20"/>
          <w:szCs w:val="20"/>
        </w:rPr>
        <w:t>–</w:t>
      </w:r>
      <w:r>
        <w:rPr>
          <w:rFonts w:hint="default" w:ascii="Times New Roman" w:hAnsi="Times New Roman" w:cs="Times New Roman"/>
          <w:sz w:val="20"/>
          <w:szCs w:val="20"/>
          <w:lang w:val="en-GB"/>
        </w:rPr>
        <w:t xml:space="preserve"> notification of participants.</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October 17 </w:t>
      </w:r>
      <w:r>
        <w:rPr>
          <w:rFonts w:ascii="Times New Roman" w:hAnsi="Times New Roman" w:cs="Times New Roman"/>
          <w:sz w:val="20"/>
          <w:szCs w:val="20"/>
        </w:rPr>
        <w:t>–</w:t>
      </w:r>
      <w:r>
        <w:rPr>
          <w:rFonts w:hint="default" w:ascii="Times New Roman" w:hAnsi="Times New Roman" w:cs="Times New Roman"/>
          <w:sz w:val="20"/>
          <w:szCs w:val="20"/>
          <w:lang w:val="en-GB"/>
        </w:rPr>
        <w:t xml:space="preserve"> Conference opening, plenary session.</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October 17</w:t>
      </w:r>
      <w:r>
        <w:rPr>
          <w:rFonts w:ascii="Times New Roman" w:hAnsi="Times New Roman" w:cs="Times New Roman"/>
          <w:sz w:val="20"/>
          <w:szCs w:val="20"/>
        </w:rPr>
        <w:t>–</w:t>
      </w:r>
      <w:r>
        <w:rPr>
          <w:rFonts w:hint="default" w:ascii="Times New Roman" w:hAnsi="Times New Roman" w:cs="Times New Roman"/>
          <w:sz w:val="20"/>
          <w:szCs w:val="20"/>
          <w:lang w:val="en-GB"/>
        </w:rPr>
        <w:t xml:space="preserve">19 </w:t>
      </w:r>
      <w:r>
        <w:rPr>
          <w:rFonts w:ascii="Times New Roman" w:hAnsi="Times New Roman" w:cs="Times New Roman"/>
          <w:sz w:val="20"/>
          <w:szCs w:val="20"/>
        </w:rPr>
        <w:t>–</w:t>
      </w:r>
      <w:r>
        <w:rPr>
          <w:rFonts w:hint="default" w:ascii="Times New Roman" w:hAnsi="Times New Roman" w:cs="Times New Roman"/>
          <w:sz w:val="20"/>
          <w:szCs w:val="20"/>
          <w:lang w:val="en-GB"/>
        </w:rPr>
        <w:t xml:space="preserve"> sections and panel discussions proceedings.</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October 19 </w:t>
      </w:r>
      <w:r>
        <w:rPr>
          <w:rFonts w:ascii="Times New Roman" w:hAnsi="Times New Roman" w:cs="Times New Roman"/>
          <w:sz w:val="20"/>
          <w:szCs w:val="20"/>
        </w:rPr>
        <w:t>–</w:t>
      </w:r>
      <w:r>
        <w:rPr>
          <w:rFonts w:hint="default" w:ascii="Times New Roman" w:hAnsi="Times New Roman" w:cs="Times New Roman"/>
          <w:sz w:val="20"/>
          <w:szCs w:val="20"/>
          <w:lang w:val="en-GB"/>
        </w:rPr>
        <w:t xml:space="preserve"> Conference closing.</w:t>
      </w:r>
    </w:p>
    <w:p>
      <w:pPr>
        <w:rPr>
          <w:rFonts w:hint="default" w:ascii="Times New Roman" w:hAnsi="Times New Roman" w:cs="Times New Roman"/>
          <w:sz w:val="20"/>
          <w:szCs w:val="20"/>
          <w:lang w:val="en-GB"/>
        </w:rPr>
      </w:pPr>
      <w:r>
        <w:rPr>
          <w:rFonts w:hint="default" w:ascii="Times New Roman" w:hAnsi="Times New Roman" w:cs="Times New Roman"/>
          <w:sz w:val="20"/>
          <w:szCs w:val="20"/>
          <w:lang w:val="en-GB"/>
        </w:rPr>
        <w:t xml:space="preserve">November 2 </w:t>
      </w:r>
      <w:r>
        <w:rPr>
          <w:rFonts w:ascii="Times New Roman" w:hAnsi="Times New Roman" w:cs="Times New Roman"/>
          <w:sz w:val="20"/>
          <w:szCs w:val="20"/>
        </w:rPr>
        <w:t>–</w:t>
      </w:r>
      <w:r>
        <w:rPr>
          <w:rFonts w:hint="default" w:ascii="Times New Roman" w:hAnsi="Times New Roman" w:cs="Times New Roman"/>
          <w:sz w:val="20"/>
          <w:szCs w:val="20"/>
          <w:lang w:val="en-GB"/>
        </w:rPr>
        <w:t xml:space="preserve"> distribution of the certificates for the intramural and off-campus participants.</w:t>
      </w:r>
    </w:p>
    <w:p>
      <w:pPr>
        <w:rPr>
          <w:rFonts w:hint="default" w:ascii="Times New Roman" w:hAnsi="Times New Roman" w:cs="Times New Roman"/>
          <w:sz w:val="20"/>
          <w:szCs w:val="20"/>
          <w:lang w:val="en-GB"/>
        </w:rPr>
      </w:pPr>
    </w:p>
    <w:p>
      <w:pPr>
        <w:rPr>
          <w:rFonts w:hint="default" w:ascii="Times New Roman" w:hAnsi="Times New Roman"/>
          <w:sz w:val="20"/>
          <w:szCs w:val="20"/>
          <w:lang w:val="en-GB"/>
        </w:rPr>
      </w:pPr>
      <w:r>
        <w:rPr>
          <w:rFonts w:hint="default" w:ascii="Times New Roman" w:hAnsi="Times New Roman" w:cs="Times New Roman"/>
          <w:sz w:val="20"/>
          <w:szCs w:val="20"/>
          <w:lang w:val="en-GB"/>
        </w:rPr>
        <w:t xml:space="preserve">Please send your abstracts via the Conference web-page: </w:t>
      </w:r>
      <w:r>
        <w:rPr>
          <w:rFonts w:hint="default" w:ascii="Times New Roman" w:hAnsi="Times New Roman"/>
          <w:b/>
          <w:bCs/>
          <w:color w:val="auto"/>
          <w:sz w:val="20"/>
          <w:szCs w:val="20"/>
          <w:u w:val="single"/>
          <w:lang w:val="en-GB"/>
        </w:rPr>
        <w:t>https://lomonosov-msu.ru/rus/event/7948/</w:t>
      </w:r>
    </w:p>
    <w:p>
      <w:pPr>
        <w:rPr>
          <w:rFonts w:hint="default" w:ascii="Times New Roman" w:hAnsi="Times New Roman"/>
          <w:sz w:val="20"/>
          <w:szCs w:val="20"/>
          <w:lang w:val="en-GB"/>
        </w:rPr>
      </w:pPr>
    </w:p>
    <w:p>
      <w:pPr>
        <w:ind w:firstLine="708" w:firstLineChars="0"/>
        <w:rPr>
          <w:rFonts w:hint="default" w:ascii="Times New Roman" w:hAnsi="Times New Roman"/>
          <w:b/>
          <w:bCs/>
          <w:sz w:val="20"/>
          <w:szCs w:val="20"/>
          <w:lang w:val="en-GB"/>
        </w:rPr>
      </w:pPr>
      <w:r>
        <w:rPr>
          <w:rFonts w:hint="default" w:ascii="Times New Roman" w:hAnsi="Times New Roman"/>
          <w:b/>
          <w:bCs/>
          <w:sz w:val="20"/>
          <w:szCs w:val="20"/>
          <w:lang w:val="en-GB"/>
        </w:rPr>
        <w:t>Contacts:</w:t>
      </w:r>
    </w:p>
    <w:p>
      <w:pPr>
        <w:rPr>
          <w:rFonts w:hint="default" w:ascii="Times New Roman" w:hAnsi="Times New Roman"/>
          <w:sz w:val="20"/>
          <w:szCs w:val="20"/>
          <w:lang w:val="en-GB"/>
        </w:rPr>
      </w:pPr>
      <w:r>
        <w:rPr>
          <w:rFonts w:hint="default" w:ascii="Times New Roman" w:hAnsi="Times New Roman"/>
          <w:sz w:val="20"/>
          <w:szCs w:val="20"/>
          <w:lang w:val="en-GB"/>
        </w:rPr>
        <w:t xml:space="preserve">Conference Telegram-channel: </w:t>
      </w:r>
      <w:r>
        <w:rPr>
          <w:rFonts w:hint="default" w:ascii="Times New Roman" w:hAnsi="Times New Roman"/>
          <w:color w:val="auto"/>
          <w:sz w:val="20"/>
          <w:szCs w:val="20"/>
          <w:u w:val="none"/>
          <w:lang w:val="en-GB"/>
        </w:rPr>
        <w:t>https://t.me/PhilConfNsk</w:t>
      </w:r>
    </w:p>
    <w:p>
      <w:pPr>
        <w:rPr>
          <w:rFonts w:hint="default" w:ascii="Times New Roman" w:hAnsi="Times New Roman"/>
          <w:sz w:val="20"/>
          <w:szCs w:val="20"/>
          <w:lang w:val="en-GB"/>
        </w:rPr>
      </w:pPr>
      <w:r>
        <w:rPr>
          <w:rFonts w:hint="default" w:ascii="Times New Roman" w:hAnsi="Times New Roman"/>
          <w:sz w:val="20"/>
          <w:szCs w:val="20"/>
          <w:lang w:val="en-GB"/>
        </w:rPr>
        <w:t xml:space="preserve">VK community: </w:t>
      </w:r>
      <w:r>
        <w:rPr>
          <w:rFonts w:hint="default" w:ascii="Times New Roman" w:hAnsi="Times New Roman"/>
          <w:color w:val="auto"/>
          <w:sz w:val="20"/>
          <w:szCs w:val="20"/>
          <w:u w:val="none"/>
          <w:lang w:val="en-GB"/>
        </w:rPr>
        <w:t>https://vk.com/philconfnsk</w:t>
      </w:r>
    </w:p>
    <w:p>
      <w:pPr>
        <w:rPr>
          <w:rFonts w:hint="default" w:ascii="Times New Roman" w:hAnsi="Times New Roman"/>
          <w:sz w:val="20"/>
          <w:szCs w:val="20"/>
          <w:lang w:val="en-GB"/>
        </w:rPr>
      </w:pPr>
      <w:r>
        <w:rPr>
          <w:rFonts w:hint="default" w:ascii="Times New Roman" w:hAnsi="Times New Roman"/>
          <w:sz w:val="20"/>
          <w:szCs w:val="20"/>
          <w:lang w:val="en-GB"/>
        </w:rPr>
        <w:t xml:space="preserve">Conference Organizing Committee e-mail: </w:t>
      </w:r>
      <w:r>
        <w:rPr>
          <w:rFonts w:hint="default" w:ascii="Times New Roman" w:hAnsi="Times New Roman"/>
          <w:color w:val="auto"/>
          <w:sz w:val="20"/>
          <w:szCs w:val="20"/>
          <w:u w:val="none"/>
          <w:lang w:val="en-GB"/>
        </w:rPr>
        <w:t>Phil.Conf.Nsk@gmail.com</w:t>
      </w:r>
    </w:p>
    <w:p>
      <w:pPr>
        <w:jc w:val="both"/>
        <w:rPr>
          <w:rFonts w:ascii="Times New Roman" w:hAnsi="Times New Roman" w:cs="Times New Roman"/>
          <w:sz w:val="20"/>
          <w:szCs w:val="20"/>
        </w:rPr>
      </w:pPr>
    </w:p>
    <w:sectPr>
      <w:headerReference r:id="rId4" w:type="default"/>
      <w:pgSz w:w="11906" w:h="16838"/>
      <w:pgMar w:top="1395" w:right="567" w:bottom="567" w:left="567" w:header="113" w:footer="0" w:gutter="0"/>
      <w:pgNumType w:fmt="decimal"/>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CC"/>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roman"/>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roman"/>
    <w:pitch w:val="default"/>
    <w:sig w:usb0="E1002EFF" w:usb1="C000605B" w:usb2="00000029" w:usb3="00000000" w:csb0="200101FF" w:csb1="20280000"/>
  </w:font>
  <w:font w:name="Liberation Sans">
    <w:altName w:val="Arial"/>
    <w:panose1 w:val="00000000000000000000"/>
    <w:charset w:val="CC"/>
    <w:family w:val="roman"/>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0772" w:type="dxa"/>
      <w:tblInd w:w="55" w:type="dxa"/>
      <w:tblLayout w:type="fixed"/>
      <w:tblCellMar>
        <w:top w:w="55" w:type="dxa"/>
        <w:left w:w="55" w:type="dxa"/>
        <w:bottom w:w="55" w:type="dxa"/>
        <w:right w:w="55" w:type="dxa"/>
      </w:tblCellMar>
    </w:tblPr>
    <w:tblGrid>
      <w:gridCol w:w="10772"/>
    </w:tblGrid>
    <w:tr>
      <w:tblPrEx>
        <w:tblCellMar>
          <w:top w:w="55" w:type="dxa"/>
          <w:left w:w="55" w:type="dxa"/>
          <w:bottom w:w="55" w:type="dxa"/>
          <w:right w:w="55" w:type="dxa"/>
        </w:tblCellMar>
      </w:tblPrEx>
      <w:tc>
        <w:tcPr>
          <w:tcW w:w="10772" w:type="dxa"/>
        </w:tcPr>
        <w:p>
          <w:pPr>
            <w:pStyle w:val="31"/>
            <w:widowControl w:val="0"/>
          </w:pPr>
          <w:r>
            <w:drawing>
              <wp:anchor distT="0" distB="0" distL="0" distR="0" simplePos="0" relativeHeight="251659264" behindDoc="1" locked="0" layoutInCell="0" allowOverlap="1">
                <wp:simplePos x="0" y="0"/>
                <wp:positionH relativeFrom="column">
                  <wp:posOffset>3124835</wp:posOffset>
                </wp:positionH>
                <wp:positionV relativeFrom="paragraph">
                  <wp:posOffset>2540</wp:posOffset>
                </wp:positionV>
                <wp:extent cx="716280" cy="720090"/>
                <wp:effectExtent l="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
                        <a:stretch>
                          <a:fillRect/>
                        </a:stretch>
                      </pic:blipFill>
                      <pic:spPr>
                        <a:xfrm>
                          <a:off x="0" y="0"/>
                          <a:ext cx="716280" cy="720090"/>
                        </a:xfrm>
                        <a:prstGeom prst="rect">
                          <a:avLst/>
                        </a:prstGeom>
                      </pic:spPr>
                    </pic:pic>
                  </a:graphicData>
                </a:graphic>
              </wp:anchor>
            </w:drawing>
          </w:r>
          <w:r>
            <w:br w:type="textWrapping"/>
          </w:r>
        </w:p>
        <w:p>
          <w:pPr>
            <w:pStyle w:val="31"/>
            <w:widowControl w:val="0"/>
          </w:pPr>
        </w:p>
      </w:tc>
    </w:tr>
  </w:tbl>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autoHyphenation/>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0E79F1"/>
  </w:rsids>
  <m:mathPr>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nhideWhenUsed="0" w:uiPriority="0" w:semiHidden="0" w:name="header"/>
    <w:lsdException w:uiPriority="99"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suppressAutoHyphens/>
      <w:bidi w:val="0"/>
      <w:spacing w:before="0" w:after="0"/>
      <w:jc w:val="left"/>
    </w:pPr>
    <w:rPr>
      <w:rFonts w:asciiTheme="minorHAnsi" w:hAnsiTheme="minorHAnsi" w:eastAsiaTheme="minorHAnsi" w:cstheme="minorBidi"/>
      <w:color w:val="auto"/>
      <w:kern w:val="0"/>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annotation reference"/>
    <w:basedOn w:val="2"/>
    <w:semiHidden/>
    <w:unhideWhenUsed/>
    <w:qFormat/>
    <w:uiPriority w:val="99"/>
    <w:rPr>
      <w:sz w:val="16"/>
      <w:szCs w:val="16"/>
    </w:rPr>
  </w:style>
  <w:style w:type="paragraph" w:styleId="5">
    <w:name w:val="Balloon Text"/>
    <w:basedOn w:val="1"/>
    <w:semiHidden/>
    <w:unhideWhenUsed/>
    <w:qFormat/>
    <w:uiPriority w:val="99"/>
    <w:rPr>
      <w:rFonts w:ascii="Tahoma" w:hAnsi="Tahoma" w:cs="Tahoma"/>
      <w:sz w:val="16"/>
      <w:szCs w:val="16"/>
    </w:rPr>
  </w:style>
  <w:style w:type="paragraph" w:styleId="6">
    <w:name w:val="caption"/>
    <w:basedOn w:val="1"/>
    <w:next w:val="1"/>
    <w:qFormat/>
    <w:uiPriority w:val="0"/>
    <w:pPr>
      <w:suppressLineNumbers/>
      <w:spacing w:before="120" w:after="120"/>
    </w:pPr>
    <w:rPr>
      <w:rFonts w:cs="Lucida Sans"/>
      <w:i/>
      <w:iCs/>
    </w:rPr>
  </w:style>
  <w:style w:type="paragraph" w:styleId="7">
    <w:name w:val="annotation text"/>
    <w:basedOn w:val="1"/>
    <w:semiHidden/>
    <w:unhideWhenUsed/>
    <w:qFormat/>
    <w:uiPriority w:val="99"/>
    <w:rPr>
      <w:sz w:val="20"/>
      <w:szCs w:val="20"/>
    </w:rPr>
  </w:style>
  <w:style w:type="paragraph" w:styleId="8">
    <w:name w:val="annotation subject"/>
    <w:basedOn w:val="7"/>
    <w:next w:val="7"/>
    <w:semiHidden/>
    <w:unhideWhenUsed/>
    <w:qFormat/>
    <w:uiPriority w:val="99"/>
    <w:rPr>
      <w:b/>
      <w:bCs/>
    </w:rPr>
  </w:style>
  <w:style w:type="paragraph" w:styleId="9">
    <w:name w:val="header"/>
    <w:basedOn w:val="10"/>
    <w:uiPriority w:val="0"/>
    <w:pPr>
      <w:suppressLineNumbers/>
      <w:tabs>
        <w:tab w:val="center" w:pos="4989"/>
        <w:tab w:val="right" w:pos="9978"/>
      </w:tabs>
    </w:pPr>
  </w:style>
  <w:style w:type="paragraph" w:customStyle="1" w:styleId="10">
    <w:name w:val="Колонтитул"/>
    <w:basedOn w:val="1"/>
    <w:qFormat/>
    <w:uiPriority w:val="0"/>
    <w:pPr>
      <w:suppressLineNumbers/>
      <w:tabs>
        <w:tab w:val="center" w:pos="4989"/>
        <w:tab w:val="right" w:pos="9978"/>
      </w:tabs>
    </w:pPr>
  </w:style>
  <w:style w:type="paragraph" w:styleId="11">
    <w:name w:val="Body Text"/>
    <w:basedOn w:val="1"/>
    <w:uiPriority w:val="0"/>
    <w:pPr>
      <w:spacing w:before="0" w:after="140" w:line="276" w:lineRule="auto"/>
    </w:pPr>
  </w:style>
  <w:style w:type="paragraph" w:styleId="12">
    <w:name w:val="index heading"/>
    <w:basedOn w:val="1"/>
    <w:next w:val="13"/>
    <w:qFormat/>
    <w:uiPriority w:val="0"/>
    <w:pPr>
      <w:suppressLineNumbers/>
    </w:pPr>
    <w:rPr>
      <w:rFonts w:cs="Lucida Sans"/>
    </w:rPr>
  </w:style>
  <w:style w:type="paragraph" w:styleId="13">
    <w:name w:val="index 1"/>
    <w:basedOn w:val="1"/>
    <w:next w:val="1"/>
    <w:semiHidden/>
    <w:unhideWhenUsed/>
    <w:uiPriority w:val="99"/>
  </w:style>
  <w:style w:type="paragraph" w:styleId="14">
    <w:name w:val="Title"/>
    <w:basedOn w:val="1"/>
    <w:next w:val="11"/>
    <w:qFormat/>
    <w:uiPriority w:val="10"/>
    <w:pPr>
      <w:spacing w:before="0" w:after="0"/>
      <w:contextualSpacing/>
    </w:pPr>
    <w:rPr>
      <w:rFonts w:asciiTheme="majorHAnsi" w:hAnsiTheme="majorHAnsi" w:eastAsiaTheme="majorEastAsia" w:cstheme="majorBidi"/>
      <w:spacing w:val="-10"/>
      <w:kern w:val="2"/>
      <w:sz w:val="56"/>
      <w:szCs w:val="56"/>
    </w:rPr>
  </w:style>
  <w:style w:type="paragraph" w:styleId="15">
    <w:name w:val="footer"/>
    <w:basedOn w:val="1"/>
    <w:semiHidden/>
    <w:unhideWhenUsed/>
    <w:uiPriority w:val="99"/>
    <w:pPr>
      <w:tabs>
        <w:tab w:val="center" w:pos="4153"/>
        <w:tab w:val="right" w:pos="8306"/>
      </w:tabs>
    </w:pPr>
  </w:style>
  <w:style w:type="paragraph" w:styleId="16">
    <w:name w:val="List"/>
    <w:basedOn w:val="11"/>
    <w:uiPriority w:val="0"/>
    <w:rPr>
      <w:rFonts w:cs="Lucida Sans"/>
    </w:rPr>
  </w:style>
  <w:style w:type="table" w:styleId="17">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Заголовок Знак"/>
    <w:basedOn w:val="2"/>
    <w:qFormat/>
    <w:uiPriority w:val="10"/>
    <w:rPr>
      <w:rFonts w:asciiTheme="majorHAnsi" w:hAnsiTheme="majorHAnsi" w:eastAsiaTheme="majorEastAsia" w:cstheme="majorBidi"/>
      <w:spacing w:val="-10"/>
      <w:kern w:val="2"/>
      <w:sz w:val="56"/>
      <w:szCs w:val="56"/>
    </w:rPr>
  </w:style>
  <w:style w:type="character" w:customStyle="1" w:styleId="19">
    <w:name w:val="Интернет-ссылка"/>
    <w:basedOn w:val="2"/>
    <w:unhideWhenUsed/>
    <w:uiPriority w:val="99"/>
    <w:rPr>
      <w:color w:val="0563C1" w:themeColor="hyperlink"/>
      <w:u w:val="single"/>
    </w:rPr>
  </w:style>
  <w:style w:type="character" w:customStyle="1" w:styleId="20">
    <w:name w:val="Unresolved Mention"/>
    <w:basedOn w:val="2"/>
    <w:semiHidden/>
    <w:unhideWhenUsed/>
    <w:qFormat/>
    <w:uiPriority w:val="99"/>
    <w:rPr>
      <w:color w:val="605E5C"/>
      <w:shd w:val="clear" w:fill="E1DFDD"/>
    </w:rPr>
  </w:style>
  <w:style w:type="character" w:customStyle="1" w:styleId="21">
    <w:name w:val="Текст выноски Знак"/>
    <w:basedOn w:val="2"/>
    <w:semiHidden/>
    <w:qFormat/>
    <w:uiPriority w:val="99"/>
    <w:rPr>
      <w:rFonts w:ascii="Tahoma" w:hAnsi="Tahoma" w:cs="Tahoma"/>
      <w:sz w:val="16"/>
      <w:szCs w:val="16"/>
    </w:rPr>
  </w:style>
  <w:style w:type="character" w:customStyle="1" w:styleId="22">
    <w:name w:val="Текст примечания Знак"/>
    <w:basedOn w:val="2"/>
    <w:semiHidden/>
    <w:qFormat/>
    <w:uiPriority w:val="99"/>
    <w:rPr>
      <w:sz w:val="20"/>
      <w:szCs w:val="20"/>
    </w:rPr>
  </w:style>
  <w:style w:type="character" w:customStyle="1" w:styleId="23">
    <w:name w:val="Тема примечания Знак"/>
    <w:basedOn w:val="22"/>
    <w:semiHidden/>
    <w:qFormat/>
    <w:uiPriority w:val="99"/>
    <w:rPr>
      <w:b/>
      <w:bCs/>
    </w:rPr>
  </w:style>
  <w:style w:type="character" w:customStyle="1" w:styleId="24">
    <w:name w:val="Посещённая гиперссылка"/>
    <w:uiPriority w:val="0"/>
    <w:rPr>
      <w:color w:val="800000"/>
      <w:u w:val="single"/>
      <w:lang w:val="zh-CN" w:eastAsia="zh-CN" w:bidi="zh-CN"/>
    </w:rPr>
  </w:style>
  <w:style w:type="paragraph" w:customStyle="1" w:styleId="25">
    <w:name w:val="Заголовок"/>
    <w:basedOn w:val="1"/>
    <w:next w:val="11"/>
    <w:qFormat/>
    <w:uiPriority w:val="0"/>
    <w:pPr>
      <w:keepNext/>
      <w:spacing w:before="240" w:after="120"/>
    </w:pPr>
    <w:rPr>
      <w:rFonts w:ascii="Liberation Sans" w:hAnsi="Liberation Sans" w:eastAsia="Microsoft YaHei" w:cs="Lucida Sans"/>
      <w:sz w:val="28"/>
      <w:szCs w:val="28"/>
    </w:rPr>
  </w:style>
  <w:style w:type="paragraph" w:customStyle="1" w:styleId="26">
    <w:name w:val="Caption"/>
    <w:basedOn w:val="1"/>
    <w:qFormat/>
    <w:uiPriority w:val="0"/>
    <w:pPr>
      <w:suppressLineNumbers/>
      <w:spacing w:before="120" w:after="120"/>
    </w:pPr>
    <w:rPr>
      <w:rFonts w:cs="Lucida Sans"/>
      <w:i/>
      <w:iCs/>
    </w:rPr>
  </w:style>
  <w:style w:type="paragraph" w:customStyle="1" w:styleId="27">
    <w:name w:val="Указатель1"/>
    <w:basedOn w:val="1"/>
    <w:qFormat/>
    <w:uiPriority w:val="0"/>
    <w:pPr>
      <w:suppressLineNumbers/>
    </w:pPr>
    <w:rPr>
      <w:rFonts w:cs="Lucida Sans"/>
      <w:lang w:val="zh-CN" w:eastAsia="zh-CN" w:bidi="zh-CN"/>
    </w:rPr>
  </w:style>
  <w:style w:type="paragraph" w:customStyle="1" w:styleId="28">
    <w:name w:val="Персидская"/>
    <w:basedOn w:val="14"/>
    <w:qFormat/>
    <w:uiPriority w:val="0"/>
    <w:pPr>
      <w:spacing w:line="360" w:lineRule="auto"/>
      <w:jc w:val="center"/>
    </w:pPr>
    <w:rPr>
      <w:rFonts w:ascii="Times New Roman" w:hAnsi="Times New Roman"/>
      <w:b/>
      <w:sz w:val="28"/>
    </w:rPr>
  </w:style>
  <w:style w:type="paragraph" w:styleId="29">
    <w:name w:val="List Paragraph"/>
    <w:basedOn w:val="1"/>
    <w:qFormat/>
    <w:uiPriority w:val="34"/>
    <w:pPr>
      <w:spacing w:before="0" w:after="0"/>
      <w:ind w:left="720" w:firstLine="0"/>
      <w:contextualSpacing/>
    </w:pPr>
  </w:style>
  <w:style w:type="paragraph" w:customStyle="1" w:styleId="30">
    <w:name w:val="Содержимое врезки"/>
    <w:basedOn w:val="1"/>
    <w:qFormat/>
    <w:uiPriority w:val="0"/>
  </w:style>
  <w:style w:type="paragraph" w:customStyle="1" w:styleId="31">
    <w:name w:val="Содержимое таблицы"/>
    <w:basedOn w:val="1"/>
    <w:qFormat/>
    <w:uiPriority w:val="0"/>
    <w:pPr>
      <w:widowControl w:val="0"/>
      <w:suppressLineNumbers/>
    </w:pPr>
  </w:style>
  <w:style w:type="paragraph" w:customStyle="1" w:styleId="32">
    <w:name w:val="Заголовок таблицы"/>
    <w:basedOn w:val="31"/>
    <w:qFormat/>
    <w:uiPriority w:val="0"/>
    <w:pPr>
      <w:suppressLineNumbers/>
      <w:jc w:val="center"/>
    </w:pPr>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345</Words>
  <Characters>2518</Characters>
  <Paragraphs>42</Paragraphs>
  <TotalTime>1</TotalTime>
  <ScaleCrop>false</ScaleCrop>
  <LinksUpToDate>false</LinksUpToDate>
  <CharactersWithSpaces>2833</CharactersWithSpaces>
  <Application>WPS Office_11.2.0.11219_F1E327BC-269C-435d-A152-05C5408002CA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2022-05-26T11:36:00Z</dcterms:created>
  <dc:creator>Microsoft Office User</dc:creator>
  <cp:lastModifiedBy>sickrrett sickrrett</cp:lastModifiedBy>
  <dcterms:modified xsi:type="dcterms:W3CDTF">2023-05-14T11:26:25Z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537A15B4880043D1AC453457A87489FD</vt:lpwstr>
  </property>
</Properties>
</file>