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3" w:rsidRPr="009175E3" w:rsidRDefault="009175E3" w:rsidP="009175E3">
      <w:pPr>
        <w:spacing w:after="0" w:line="240" w:lineRule="auto"/>
        <w:ind w:right="1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9175E3">
        <w:rPr>
          <w:rFonts w:ascii="Times New Roman" w:hAnsi="Times New Roman" w:cs="Times New Roman"/>
          <w:b/>
          <w:i/>
          <w:sz w:val="26"/>
          <w:szCs w:val="26"/>
        </w:rPr>
        <w:t>Ситникова И.Ю.</w:t>
      </w:r>
    </w:p>
    <w:p w:rsidR="009175E3" w:rsidRPr="009175E3" w:rsidRDefault="009175E3" w:rsidP="009175E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5E3">
        <w:rPr>
          <w:rFonts w:ascii="Times New Roman" w:hAnsi="Times New Roman" w:cs="Times New Roman"/>
          <w:b/>
          <w:sz w:val="26"/>
          <w:szCs w:val="26"/>
        </w:rPr>
        <w:t xml:space="preserve">Совершенствование </w:t>
      </w:r>
      <w:proofErr w:type="gramStart"/>
      <w:r w:rsidRPr="009175E3">
        <w:rPr>
          <w:rFonts w:ascii="Times New Roman" w:hAnsi="Times New Roman" w:cs="Times New Roman"/>
          <w:b/>
          <w:sz w:val="26"/>
          <w:szCs w:val="26"/>
        </w:rPr>
        <w:t>методики оценки кредитоспособности Сбербанка России</w:t>
      </w:r>
      <w:proofErr w:type="gramEnd"/>
      <w:r w:rsidRPr="009175E3">
        <w:rPr>
          <w:rFonts w:ascii="Times New Roman" w:hAnsi="Times New Roman" w:cs="Times New Roman"/>
          <w:b/>
          <w:sz w:val="26"/>
          <w:szCs w:val="26"/>
        </w:rPr>
        <w:t xml:space="preserve"> и её апробация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E4B">
        <w:rPr>
          <w:rFonts w:ascii="Times New Roman" w:eastAsia="Times New Roman" w:hAnsi="Times New Roman" w:cs="Times New Roman"/>
          <w:sz w:val="24"/>
          <w:szCs w:val="24"/>
        </w:rPr>
        <w:t>Данная работа посвящена ключевому вопросу в сфере организации направления кредитных сре</w:t>
      </w:r>
      <w:proofErr w:type="gramStart"/>
      <w:r w:rsidRPr="00BE2E4B">
        <w:rPr>
          <w:rFonts w:ascii="Times New Roman" w:eastAsia="Times New Roman" w:hAnsi="Times New Roman" w:cs="Times New Roman"/>
          <w:sz w:val="24"/>
          <w:szCs w:val="24"/>
        </w:rPr>
        <w:t>дств в к</w:t>
      </w:r>
      <w:proofErr w:type="gramEnd"/>
      <w:r w:rsidRPr="00BE2E4B">
        <w:rPr>
          <w:rFonts w:ascii="Times New Roman" w:eastAsia="Times New Roman" w:hAnsi="Times New Roman" w:cs="Times New Roman"/>
          <w:sz w:val="24"/>
          <w:szCs w:val="24"/>
        </w:rPr>
        <w:t>ачестве одной из наиболее весомых частей банковских активов – улучшению методики оценки кредитоспособности заёмщика. Подавляющее число банкро</w:t>
      </w:r>
      <w:proofErr w:type="gramStart"/>
      <w:r w:rsidRPr="00BE2E4B">
        <w:rPr>
          <w:rFonts w:ascii="Times New Roman" w:eastAsia="Times New Roman" w:hAnsi="Times New Roman" w:cs="Times New Roman"/>
          <w:sz w:val="24"/>
          <w:szCs w:val="24"/>
        </w:rPr>
        <w:t>тств кр</w:t>
      </w:r>
      <w:proofErr w:type="gramEnd"/>
      <w:r w:rsidRPr="00BE2E4B">
        <w:rPr>
          <w:rFonts w:ascii="Times New Roman" w:eastAsia="Times New Roman" w:hAnsi="Times New Roman" w:cs="Times New Roman"/>
          <w:sz w:val="24"/>
          <w:szCs w:val="24"/>
        </w:rPr>
        <w:t>едитных организаций обусловлено их неграмотной политикой в области управления кредитным портфелем и неправильным подбором методологической базы оценки финансового состояния клиентов.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E4B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отметить: актуальность исследования подкрепляется также недостаточными объёмами кредитования реального сектора России. Это во многом является следствием осторожной и </w:t>
      </w:r>
      <w:proofErr w:type="spellStart"/>
      <w:r w:rsidRPr="00BE2E4B">
        <w:rPr>
          <w:rFonts w:ascii="Times New Roman" w:eastAsia="Times New Roman" w:hAnsi="Times New Roman" w:cs="Times New Roman"/>
          <w:sz w:val="24"/>
          <w:szCs w:val="24"/>
        </w:rPr>
        <w:t>недоверительной</w:t>
      </w:r>
      <w:proofErr w:type="spellEnd"/>
      <w:r w:rsidRPr="00BE2E4B">
        <w:rPr>
          <w:rFonts w:ascii="Times New Roman" w:eastAsia="Times New Roman" w:hAnsi="Times New Roman" w:cs="Times New Roman"/>
          <w:sz w:val="24"/>
          <w:szCs w:val="24"/>
        </w:rPr>
        <w:t xml:space="preserve"> политики коммерческих банков к заёмщикам. По данным рейтинговых агентств, Российская экономика характеризуется высокими политическими и экономическими рисками, ее инфраструктура недостаточно развита и тормозит развитие банковской сферы. Ни один банк не берет на себя ответственность, повышая свои риски, кредитовать предприятия в желаемом для экономики объеме. Поэтому возникает куда более глубокая проблема – проблема выбора объективной и простой методики оценки кредитоспособности. На данном этапе развития </w:t>
      </w:r>
      <w:proofErr w:type="gramStart"/>
      <w:r w:rsidRPr="00BE2E4B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proofErr w:type="gramEnd"/>
      <w:r w:rsidRPr="00BE2E4B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методики зачастую основываются не столько на  объективные количественные показатели, сколько на субъективную оценку экспертом устойчивости компании, основанную на личном опыте и интуиции. Это значит, что огромная доля риска, принимаемого банком, зависит от человеческого фактора. Стоит также </w:t>
      </w:r>
      <w:proofErr w:type="gramStart"/>
      <w:r w:rsidRPr="00BE2E4B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proofErr w:type="gramEnd"/>
      <w:r w:rsidRPr="00BE2E4B">
        <w:rPr>
          <w:rFonts w:ascii="Times New Roman" w:eastAsia="Times New Roman" w:hAnsi="Times New Roman" w:cs="Times New Roman"/>
          <w:sz w:val="24"/>
          <w:szCs w:val="24"/>
        </w:rPr>
        <w:t xml:space="preserve"> что в условиях конкуренции многие банки привлекают клиентов сжатыми сроками решения о выдаче кредита, то есть чтобы не потерять клиента банку необходима технология обработки информации в ускоренном режиме, то есть именно простая методика.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E4B">
        <w:rPr>
          <w:rFonts w:ascii="Times New Roman" w:eastAsia="Times New Roman" w:hAnsi="Times New Roman" w:cs="Times New Roman"/>
          <w:sz w:val="24"/>
          <w:szCs w:val="24"/>
        </w:rPr>
        <w:t>Важно определить, в какой сфере работает кредитуемое предприятие. Дело в том, что некоторые отрасли обладают специфическими областями хозяйствования, например, сезонность сельскохозяйственных работ, низкая доля собственного оборотного капитала в машиностроении и др. Эти особенности, присущие всем участникам отрасли, в стандартных методиках могут оказаться решающими в отказе при выдаче кредита, то есть налицо необходимость индивидуального подхода к предприятиям заёмщикам. Как выясняется, пользуясь экономической логикой, описывающей некоторые механизмы работы фирм, можно экономически обоснованно снизить риск банка при выдаче кредита.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E4B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исследования заключается в развитии методологического обеспечения оценки кредитоспособности и его апробация.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Pr="00BE2E4B">
        <w:rPr>
          <w:rFonts w:ascii="Times New Roman" w:hAnsi="Times New Roman" w:cs="Times New Roman"/>
          <w:sz w:val="24"/>
          <w:szCs w:val="24"/>
        </w:rPr>
        <w:t xml:space="preserve"> работы автор реализует на практике ряд методик оценки кредитоспособности заёмщика, оценивает возможности для их дополнения и оптимизации. Приводятся рекомендации по совершенствованию процедуры определения класса кредитоспособности предприятия – заёмщика.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Для проведения анализа кредитоспособности были случайным образом выбраны 3 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предприятия по следующему принципу: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1. Предприятие с мировым именем, крупное, практически не имеющее конкурентов в рамках страны. Для учебно-научных целей назовем его «Предприятие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>».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2. Предприятие, стабильно существующее на протяжении нескольких десятков лет на рынке Марий Эл, а также востребованное в масштабах страны – «Предприятие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>».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3. «Молодое» предприятие с большими перспективами, высокими темпами развития, функционирующее в рамках одного из крупнейших городов России – «Предприятие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>».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В качестве информационной базы для выполнения работы использовалась учебная литература, источники сети Интернет, публикуемая отчётность предприятий.</w:t>
      </w:r>
    </w:p>
    <w:p w:rsid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В качестве методологической базы исследования были приняты общенаучные методы анализа и синтеза, законы логики и диалектики, а также различные формы </w:t>
      </w:r>
      <w:proofErr w:type="spellStart"/>
      <w:r w:rsidRPr="00BE2E4B">
        <w:rPr>
          <w:rFonts w:ascii="Times New Roman" w:hAnsi="Times New Roman" w:cs="Times New Roman"/>
          <w:sz w:val="24"/>
          <w:szCs w:val="24"/>
        </w:rPr>
        <w:t>статистическо</w:t>
      </w:r>
      <w:proofErr w:type="spellEnd"/>
      <w:r w:rsidRPr="00BE2E4B">
        <w:rPr>
          <w:rFonts w:ascii="Times New Roman" w:hAnsi="Times New Roman" w:cs="Times New Roman"/>
          <w:sz w:val="24"/>
          <w:szCs w:val="24"/>
        </w:rPr>
        <w:t xml:space="preserve"> – аналитических исследований.</w:t>
      </w:r>
    </w:p>
    <w:p w:rsidR="00BE2E4B" w:rsidRDefault="00BE2E4B" w:rsidP="009175E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Сведем результаты, полученные в ходе расчетов классов кредитоспособности в табл.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BE2E4B">
        <w:rPr>
          <w:rFonts w:ascii="Times New Roman" w:hAnsi="Times New Roman" w:cs="Times New Roman"/>
          <w:sz w:val="24"/>
          <w:szCs w:val="24"/>
        </w:rPr>
        <w:t>. При этом, вероятности банкротства выше 50% примем в виде значения низшего класса кредитоспособности, например, значению Z5 Предприятия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в модели Альтмана  соответствует наибольшая вероятность банкротства, что относится к 3 классу кредитоспособности из 3 (1 класс – менее 50%, 2 класс – зона неопределенности, 3 класс – более 50%).</w:t>
      </w:r>
    </w:p>
    <w:p w:rsidR="00BE2E4B" w:rsidRPr="00BE2E4B" w:rsidRDefault="00BE2E4B" w:rsidP="00BE2E4B">
      <w:pPr>
        <w:spacing w:after="0" w:line="240" w:lineRule="auto"/>
        <w:ind w:right="1"/>
        <w:jc w:val="center"/>
        <w:rPr>
          <w:rFonts w:ascii="Times New Roman" w:hAnsi="Times New Roman" w:cs="Times New Roman"/>
          <w:i/>
          <w:szCs w:val="24"/>
        </w:rPr>
      </w:pPr>
      <w:r w:rsidRPr="00BE2E4B">
        <w:rPr>
          <w:rFonts w:ascii="Times New Roman" w:hAnsi="Times New Roman" w:cs="Times New Roman"/>
          <w:i/>
          <w:szCs w:val="24"/>
        </w:rPr>
        <w:t>Табл. №1. Сводная таблица результатов применения методик по предприятиям</w:t>
      </w:r>
      <w:proofErr w:type="gramStart"/>
      <w:r w:rsidRPr="00BE2E4B">
        <w:rPr>
          <w:rFonts w:ascii="Times New Roman" w:hAnsi="Times New Roman" w:cs="Times New Roman"/>
          <w:i/>
          <w:szCs w:val="24"/>
        </w:rPr>
        <w:t xml:space="preserve"> А</w:t>
      </w:r>
      <w:proofErr w:type="gramEnd"/>
      <w:r w:rsidRPr="00BE2E4B">
        <w:rPr>
          <w:rFonts w:ascii="Times New Roman" w:hAnsi="Times New Roman" w:cs="Times New Roman"/>
          <w:i/>
          <w:szCs w:val="24"/>
        </w:rPr>
        <w:t>, Б, В</w:t>
      </w:r>
    </w:p>
    <w:tbl>
      <w:tblPr>
        <w:tblStyle w:val="a4"/>
        <w:tblW w:w="9745" w:type="dxa"/>
        <w:jc w:val="center"/>
        <w:tblInd w:w="163" w:type="dxa"/>
        <w:tblLook w:val="04A0" w:firstRow="1" w:lastRow="0" w:firstColumn="1" w:lastColumn="0" w:noHBand="0" w:noVBand="1"/>
      </w:tblPr>
      <w:tblGrid>
        <w:gridCol w:w="1570"/>
        <w:gridCol w:w="1219"/>
        <w:gridCol w:w="1292"/>
        <w:gridCol w:w="722"/>
        <w:gridCol w:w="1234"/>
        <w:gridCol w:w="1218"/>
        <w:gridCol w:w="1218"/>
        <w:gridCol w:w="1306"/>
      </w:tblGrid>
      <w:tr w:rsidR="00BE2E4B" w:rsidRPr="00BE2E4B" w:rsidTr="00BE2E4B">
        <w:trPr>
          <w:trHeight w:val="500"/>
          <w:jc w:val="center"/>
        </w:trPr>
        <w:tc>
          <w:tcPr>
            <w:tcW w:w="1570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7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</w:tr>
      <w:tr w:rsidR="00BE2E4B" w:rsidRPr="00BE2E4B" w:rsidTr="00BE2E4B">
        <w:trPr>
          <w:trHeight w:val="500"/>
          <w:jc w:val="center"/>
        </w:trPr>
        <w:tc>
          <w:tcPr>
            <w:tcW w:w="1570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219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Савицкой</w:t>
            </w:r>
          </w:p>
        </w:tc>
        <w:tc>
          <w:tcPr>
            <w:tcW w:w="125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722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234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Таффлера</w:t>
            </w:r>
            <w:proofErr w:type="spellEnd"/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Альтмана Z2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Альтмана</w:t>
            </w:r>
          </w:p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Z5</w:t>
            </w:r>
          </w:p>
        </w:tc>
        <w:tc>
          <w:tcPr>
            <w:tcW w:w="1306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Сбербанка</w:t>
            </w:r>
          </w:p>
        </w:tc>
      </w:tr>
      <w:tr w:rsidR="00BE2E4B" w:rsidRPr="00BE2E4B" w:rsidTr="00BE2E4B">
        <w:trPr>
          <w:trHeight w:val="500"/>
          <w:jc w:val="center"/>
        </w:trPr>
        <w:tc>
          <w:tcPr>
            <w:tcW w:w="1570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E4B" w:rsidRPr="00BE2E4B" w:rsidTr="00BE2E4B">
        <w:trPr>
          <w:trHeight w:val="500"/>
          <w:jc w:val="center"/>
        </w:trPr>
        <w:tc>
          <w:tcPr>
            <w:tcW w:w="1570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2 или 3</w:t>
            </w:r>
          </w:p>
        </w:tc>
        <w:tc>
          <w:tcPr>
            <w:tcW w:w="125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 или 3</w:t>
            </w:r>
          </w:p>
        </w:tc>
        <w:tc>
          <w:tcPr>
            <w:tcW w:w="722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2E4B" w:rsidRPr="00BE2E4B" w:rsidTr="00BE2E4B">
        <w:trPr>
          <w:trHeight w:val="500"/>
          <w:jc w:val="center"/>
        </w:trPr>
        <w:tc>
          <w:tcPr>
            <w:tcW w:w="1570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19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3 или 4</w:t>
            </w:r>
          </w:p>
        </w:tc>
        <w:tc>
          <w:tcPr>
            <w:tcW w:w="125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2E4B" w:rsidRPr="00BE2E4B" w:rsidTr="00BE2E4B">
        <w:trPr>
          <w:trHeight w:val="500"/>
          <w:jc w:val="center"/>
        </w:trPr>
        <w:tc>
          <w:tcPr>
            <w:tcW w:w="1570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proofErr w:type="spellStart"/>
            <w:proofErr w:type="gramStart"/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кредито</w:t>
            </w:r>
            <w:proofErr w:type="spellEnd"/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-способности</w:t>
            </w:r>
            <w:proofErr w:type="gramEnd"/>
          </w:p>
        </w:tc>
        <w:tc>
          <w:tcPr>
            <w:tcW w:w="1219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25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722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34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18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06" w:type="dxa"/>
            <w:noWrap/>
            <w:vAlign w:val="center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4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Сравнивая результаты расчетов по всем моделям (Альтмана, Савицкой, </w:t>
      </w:r>
      <w:proofErr w:type="spellStart"/>
      <w:r w:rsidRPr="00BE2E4B">
        <w:rPr>
          <w:rFonts w:ascii="Times New Roman" w:hAnsi="Times New Roman" w:cs="Times New Roman"/>
          <w:sz w:val="24"/>
          <w:szCs w:val="24"/>
        </w:rPr>
        <w:t>Таффлера</w:t>
      </w:r>
      <w:proofErr w:type="spellEnd"/>
      <w:r w:rsidRPr="00BE2E4B">
        <w:rPr>
          <w:rFonts w:ascii="Times New Roman" w:hAnsi="Times New Roman" w:cs="Times New Roman"/>
          <w:sz w:val="24"/>
          <w:szCs w:val="24"/>
        </w:rPr>
        <w:t>, и прогнозной модели Иркутской государственной академии) можно увидеть, что все модели риска банкротства практически одинаково воспроизводят изменение ситуации на предприятии. Таким образом, практически все модели в одинаковой степени отражают финансовую ситуацию на предприятии.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Однако при этом, данные расчетов показывают: в каждом случае решения о возможности выдачи кредита будут различны, и иметь различные последствия. Более того, эти различные действия потребуют привлечения дополнительных материальных, интеллектуальных, денежных и трудовых ресурсов. То есть, какая бы модель не была выбрана, существует довольно высокий риск заблуждения в принятии решений.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Основной причиной ошибок при выборе той или иной модели является не сама модель, а те критерии, на основании которых и должно приниматься то или иное решение относительно фактического финансово-экономического состояния, определенные для каждой из моделей.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Рассмотрев вышеперечисленные методики можно сделать вывод о том, что при оценке кредитоспособности предприятия необходимо учитывать следующие особенности: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Оценка ликвидности (текущей и абсолютной);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Зависимость предприятия от заемных средств;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Расходы по текущей деятельности;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Долгосрочные вложения и обязательства;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Рентабельность деятельности предприятия.</w:t>
      </w:r>
      <w:r w:rsidR="00ED6413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Сама же методика Сбербанка имеет как положительные, так и отрицательные стороны.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К преимуществам методики Сбербанка относятся: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Простота, способность ранжирования организаций по результатам;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Комплексный подход к оценке кредитоспособности;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трех групп заемщиков, которые дифференцируют их по классам доверия, что дает возможность получать кредиты на льготных условиях;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Используются общепринятые коэффициенты финансовой устойчивости, которые могут с разных сторон охарактеризовать состояние предприятия.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Недостатки методики Сбербанка: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Отсутствие обоснования коэффициентов значимости;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Рассчитываемые коэффициенты не удовлетворяют требованиям достаточной репрезентативности прогноза;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Не учитываются многие факторы - особенности рыночной  и отраслевой конъюнктуры, оценки выпускаемой и реализуемой продукции, перспективы капиталовложений и т.д.;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Не учитываются многие факторы риска, действие которых может сказаться через определенное время.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Таким образом, следует сделать вывод, что каждая методика имеет свои достоинства и недостатки. Методика Сбербанка по отношению к российской экономике является более реальной. Она учитывает многие стороны деятельности фирмы и достаточна «сдержана» при оценке класса кредитоспособности, т.е., если по одной оценке предприятие могло кредитоваться и на льготных условиях, то по методике Сбербанка – нет. Такая осторожность, как известно, себя оправдала.</w:t>
      </w:r>
    </w:p>
    <w:p w:rsidR="009175E3" w:rsidRPr="007F0200" w:rsidRDefault="009175E3" w:rsidP="009175E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13">
        <w:rPr>
          <w:rFonts w:ascii="Times New Roman" w:hAnsi="Times New Roman" w:cs="Times New Roman"/>
          <w:sz w:val="24"/>
          <w:szCs w:val="24"/>
        </w:rPr>
        <w:t>Сберба</w:t>
      </w:r>
      <w:r w:rsidRPr="007F0200">
        <w:rPr>
          <w:rFonts w:ascii="Times New Roman" w:hAnsi="Times New Roman" w:cs="Times New Roman"/>
          <w:sz w:val="24"/>
          <w:szCs w:val="24"/>
        </w:rPr>
        <w:t>нк России разработал и применяет методику определения кредитоспособности заёмщика на основе количественной оценки, финансового состояния и качественного анализа рисков. Количественный анализ финансового состояния заёмщика предполагает оценку следующих групп оценочных показателей: коэффициентов ликвидности; коэффициентов соотношения собственных и заемных средств; показателей оборачиваемости и рентабельности.</w:t>
      </w:r>
    </w:p>
    <w:p w:rsidR="009175E3" w:rsidRPr="007F0200" w:rsidRDefault="009175E3" w:rsidP="009175E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После расчёта основных оценочных показателей в каждой из групп, заёмщику присваивается категория по большинству из этих показателей на основе сравнения рассчи</w:t>
      </w:r>
      <w:r w:rsidR="00ED6413">
        <w:rPr>
          <w:rFonts w:ascii="Times New Roman" w:hAnsi="Times New Roman" w:cs="Times New Roman"/>
          <w:sz w:val="24"/>
          <w:szCs w:val="24"/>
        </w:rPr>
        <w:t xml:space="preserve">танных значений с </w:t>
      </w:r>
      <w:proofErr w:type="gramStart"/>
      <w:r w:rsidR="00ED6413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="00ED6413">
        <w:rPr>
          <w:rFonts w:ascii="Times New Roman" w:hAnsi="Times New Roman" w:cs="Times New Roman"/>
          <w:sz w:val="24"/>
          <w:szCs w:val="24"/>
        </w:rPr>
        <w:t>.</w:t>
      </w:r>
      <w:r w:rsidR="00ED6413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</w:p>
    <w:p w:rsidR="009175E3" w:rsidRPr="007F0200" w:rsidRDefault="009175E3" w:rsidP="009175E3">
      <w:pPr>
        <w:pStyle w:val="a3"/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Выделим основные недостатки методики Сбербанка: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Отсутствует обоснование коэффициентов значимости;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Рассчитываемые коэффициенты не удовлетворяют требованиям прогностической направленности расчетов;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 xml:space="preserve">Не учитываются </w:t>
      </w:r>
      <w:r>
        <w:rPr>
          <w:rFonts w:ascii="Times New Roman" w:hAnsi="Times New Roman" w:cs="Times New Roman"/>
          <w:sz w:val="24"/>
          <w:szCs w:val="24"/>
        </w:rPr>
        <w:t>такие факторы, как</w:t>
      </w:r>
      <w:r w:rsidRPr="007F0200">
        <w:rPr>
          <w:rFonts w:ascii="Times New Roman" w:hAnsi="Times New Roman" w:cs="Times New Roman"/>
          <w:sz w:val="24"/>
          <w:szCs w:val="24"/>
        </w:rPr>
        <w:t xml:space="preserve"> особенности рыночной  и отраслевой конъюнктуры;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Крайне </w:t>
      </w:r>
      <w:r w:rsidRPr="007F0200">
        <w:rPr>
          <w:rFonts w:ascii="Times New Roman" w:hAnsi="Times New Roman" w:cs="Times New Roman"/>
          <w:sz w:val="24"/>
          <w:szCs w:val="24"/>
        </w:rPr>
        <w:t>осторожная п</w:t>
      </w:r>
      <w:r>
        <w:rPr>
          <w:rFonts w:ascii="Times New Roman" w:hAnsi="Times New Roman" w:cs="Times New Roman"/>
          <w:sz w:val="24"/>
          <w:szCs w:val="24"/>
        </w:rPr>
        <w:t>олитика, жесткие условия для оп</w:t>
      </w:r>
      <w:r w:rsidRPr="007F0200">
        <w:rPr>
          <w:rFonts w:ascii="Times New Roman" w:hAnsi="Times New Roman" w:cs="Times New Roman"/>
          <w:sz w:val="24"/>
          <w:szCs w:val="24"/>
        </w:rPr>
        <w:t xml:space="preserve">ределения </w:t>
      </w:r>
      <w:r>
        <w:rPr>
          <w:rFonts w:ascii="Times New Roman" w:hAnsi="Times New Roman" w:cs="Times New Roman"/>
          <w:sz w:val="24"/>
          <w:szCs w:val="24"/>
        </w:rPr>
        <w:t>рейтинга</w:t>
      </w:r>
      <w:r w:rsidRPr="007F0200">
        <w:rPr>
          <w:rFonts w:ascii="Times New Roman" w:hAnsi="Times New Roman" w:cs="Times New Roman"/>
          <w:sz w:val="24"/>
          <w:szCs w:val="24"/>
        </w:rPr>
        <w:t>.</w:t>
      </w:r>
    </w:p>
    <w:p w:rsidR="009175E3" w:rsidRPr="007F0200" w:rsidRDefault="009175E3" w:rsidP="009175E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Каждая методика имеет свои достоинства и не</w:t>
      </w:r>
      <w:r>
        <w:rPr>
          <w:rFonts w:ascii="Times New Roman" w:hAnsi="Times New Roman" w:cs="Times New Roman"/>
          <w:sz w:val="24"/>
          <w:szCs w:val="24"/>
        </w:rPr>
        <w:t>достатки. Методика Сбербанка в российских условиях</w:t>
      </w:r>
      <w:r w:rsidRPr="007F0200">
        <w:rPr>
          <w:rFonts w:ascii="Times New Roman" w:hAnsi="Times New Roman" w:cs="Times New Roman"/>
          <w:sz w:val="24"/>
          <w:szCs w:val="24"/>
        </w:rPr>
        <w:t xml:space="preserve"> является более реальной. Она учитывает многие стороны деятельности фирмы и достаточна «сдержана» при оценке класса кредитоспособности, т.е., если по одной оценке предприятие могло кредитоваться и на льготных условиях, то по методике Сбербанка – нет. Такая осторожность в условиях современности довольно оправдана. </w:t>
      </w:r>
    </w:p>
    <w:p w:rsidR="009175E3" w:rsidRPr="007F0200" w:rsidRDefault="009175E3" w:rsidP="009175E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Необходимо выделить следующие параметры оптимальной методики: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Простота проведения анализа, основанная на информации в доступных источниках (баланс, отчет о прибылях и убытках и т.д.)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Разбивка на классы кредитоспособности для дифференциации заемщиков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Использование научно обоснованных коэффициентов финансовой устойчивости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Использование индивидуальных для отрасли пороговых значений индикаторов;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Учет качественных факторов;</w:t>
      </w:r>
    </w:p>
    <w:p w:rsidR="009175E3" w:rsidRPr="007F0200" w:rsidRDefault="009175E3" w:rsidP="009175E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Возможность различных вариантов прогноза.</w:t>
      </w:r>
    </w:p>
    <w:p w:rsidR="009175E3" w:rsidRPr="007F0200" w:rsidRDefault="009175E3" w:rsidP="009175E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Исходя из этого, дополним</w:t>
      </w:r>
      <w:r w:rsidRPr="007F0200">
        <w:rPr>
          <w:rFonts w:ascii="Times New Roman" w:hAnsi="Times New Roman" w:cs="Times New Roman"/>
          <w:sz w:val="24"/>
          <w:szCs w:val="24"/>
        </w:rPr>
        <w:t xml:space="preserve"> данную методику: </w:t>
      </w:r>
    </w:p>
    <w:p w:rsidR="009175E3" w:rsidRPr="00ED6413" w:rsidRDefault="00BE2E4B" w:rsidP="009175E3">
      <w:pPr>
        <w:spacing w:after="0" w:line="240" w:lineRule="auto"/>
        <w:ind w:right="1"/>
        <w:jc w:val="center"/>
        <w:rPr>
          <w:rFonts w:ascii="Times New Roman" w:hAnsi="Times New Roman" w:cs="Times New Roman"/>
          <w:i/>
          <w:szCs w:val="24"/>
        </w:rPr>
      </w:pPr>
      <w:r w:rsidRPr="00ED6413">
        <w:rPr>
          <w:rFonts w:ascii="Times New Roman" w:hAnsi="Times New Roman" w:cs="Times New Roman"/>
          <w:i/>
          <w:szCs w:val="24"/>
        </w:rPr>
        <w:t>Табл. № 2. Коэффициенты</w:t>
      </w:r>
      <w:r w:rsidR="009175E3" w:rsidRPr="00ED6413">
        <w:rPr>
          <w:rFonts w:ascii="Times New Roman" w:hAnsi="Times New Roman" w:cs="Times New Roman"/>
          <w:i/>
          <w:szCs w:val="24"/>
        </w:rPr>
        <w:t xml:space="preserve"> и формулы их расчета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085"/>
        <w:gridCol w:w="2694"/>
        <w:gridCol w:w="3860"/>
      </w:tblGrid>
      <w:tr w:rsidR="009175E3" w:rsidRPr="00ED6413" w:rsidTr="00061C06">
        <w:trPr>
          <w:trHeight w:val="354"/>
        </w:trPr>
        <w:tc>
          <w:tcPr>
            <w:tcW w:w="3085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6413">
              <w:rPr>
                <w:rFonts w:ascii="Times New Roman" w:hAnsi="Times New Roman" w:cs="Times New Roman"/>
                <w:b/>
                <w:bCs/>
                <w:szCs w:val="24"/>
              </w:rPr>
              <w:t xml:space="preserve">Коэффициент </w:t>
            </w:r>
          </w:p>
        </w:tc>
        <w:tc>
          <w:tcPr>
            <w:tcW w:w="2694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6413">
              <w:rPr>
                <w:rFonts w:ascii="Times New Roman" w:hAnsi="Times New Roman" w:cs="Times New Roman"/>
                <w:b/>
                <w:bCs/>
                <w:szCs w:val="24"/>
              </w:rPr>
              <w:t xml:space="preserve">Расчёт фактического значения </w:t>
            </w:r>
          </w:p>
        </w:tc>
        <w:tc>
          <w:tcPr>
            <w:tcW w:w="3860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6413">
              <w:rPr>
                <w:rFonts w:ascii="Times New Roman" w:hAnsi="Times New Roman" w:cs="Times New Roman"/>
                <w:b/>
                <w:bCs/>
                <w:szCs w:val="24"/>
              </w:rPr>
              <w:t xml:space="preserve">Расчёт порогового значения </w:t>
            </w:r>
          </w:p>
        </w:tc>
      </w:tr>
      <w:tr w:rsidR="009175E3" w:rsidRPr="00ED6413" w:rsidTr="00061C06">
        <w:trPr>
          <w:trHeight w:val="830"/>
        </w:trPr>
        <w:tc>
          <w:tcPr>
            <w:tcW w:w="3085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ED6413">
              <w:rPr>
                <w:rFonts w:ascii="Times New Roman" w:hAnsi="Times New Roman" w:cs="Times New Roman"/>
                <w:szCs w:val="24"/>
              </w:rPr>
              <w:t xml:space="preserve">1. Чистый оборотный капитал </w:t>
            </w:r>
          </w:p>
        </w:tc>
        <w:tc>
          <w:tcPr>
            <w:tcW w:w="2694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ЧОКф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= </w:t>
            </w: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ОбА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-КО </w:t>
            </w:r>
          </w:p>
        </w:tc>
        <w:tc>
          <w:tcPr>
            <w:tcW w:w="3860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ЧОКд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>= «сырьё и материалы»+ «затраты в незавершённом производстве»</w:t>
            </w:r>
          </w:p>
        </w:tc>
      </w:tr>
      <w:tr w:rsidR="009175E3" w:rsidRPr="00ED6413" w:rsidTr="00061C06">
        <w:trPr>
          <w:trHeight w:val="417"/>
        </w:trPr>
        <w:tc>
          <w:tcPr>
            <w:tcW w:w="3085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ED6413">
              <w:rPr>
                <w:rFonts w:ascii="Times New Roman" w:hAnsi="Times New Roman" w:cs="Times New Roman"/>
                <w:szCs w:val="24"/>
              </w:rPr>
              <w:t xml:space="preserve">2. Достаточный </w:t>
            </w:r>
            <w:proofErr w:type="spellStart"/>
            <w:proofErr w:type="gramStart"/>
            <w:r w:rsidRPr="00ED6413">
              <w:rPr>
                <w:rFonts w:ascii="Times New Roman" w:hAnsi="Times New Roman" w:cs="Times New Roman"/>
                <w:szCs w:val="24"/>
              </w:rPr>
              <w:t>собствен-ный</w:t>
            </w:r>
            <w:proofErr w:type="spellEnd"/>
            <w:proofErr w:type="gramEnd"/>
            <w:r w:rsidRPr="00ED6413">
              <w:rPr>
                <w:rFonts w:ascii="Times New Roman" w:hAnsi="Times New Roman" w:cs="Times New Roman"/>
                <w:szCs w:val="24"/>
              </w:rPr>
              <w:t xml:space="preserve"> капитал </w:t>
            </w:r>
          </w:p>
        </w:tc>
        <w:tc>
          <w:tcPr>
            <w:tcW w:w="2694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ДСКф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= раздел </w:t>
            </w:r>
            <w:r w:rsidRPr="00ED6413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ED6413">
              <w:rPr>
                <w:rFonts w:ascii="Times New Roman" w:hAnsi="Times New Roman" w:cs="Times New Roman"/>
                <w:szCs w:val="24"/>
              </w:rPr>
              <w:t xml:space="preserve"> баланса </w:t>
            </w:r>
          </w:p>
        </w:tc>
        <w:tc>
          <w:tcPr>
            <w:tcW w:w="3860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ДСКд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= </w:t>
            </w: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ВнА+ЧОКд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175E3" w:rsidRPr="00ED6413" w:rsidTr="00061C06">
        <w:trPr>
          <w:trHeight w:val="708"/>
        </w:trPr>
        <w:tc>
          <w:tcPr>
            <w:tcW w:w="3085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ED6413">
              <w:rPr>
                <w:rFonts w:ascii="Times New Roman" w:hAnsi="Times New Roman" w:cs="Times New Roman"/>
                <w:szCs w:val="24"/>
              </w:rPr>
              <w:t xml:space="preserve">3. Коэффициент </w:t>
            </w:r>
            <w:proofErr w:type="spellStart"/>
            <w:proofErr w:type="gramStart"/>
            <w:r w:rsidRPr="00ED6413">
              <w:rPr>
                <w:rFonts w:ascii="Times New Roman" w:hAnsi="Times New Roman" w:cs="Times New Roman"/>
                <w:szCs w:val="24"/>
              </w:rPr>
              <w:t>финансо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>-вой</w:t>
            </w:r>
            <w:proofErr w:type="gramEnd"/>
            <w:r w:rsidRPr="00ED6413">
              <w:rPr>
                <w:rFonts w:ascii="Times New Roman" w:hAnsi="Times New Roman" w:cs="Times New Roman"/>
                <w:szCs w:val="24"/>
              </w:rPr>
              <w:t xml:space="preserve"> независимости </w:t>
            </w:r>
          </w:p>
        </w:tc>
        <w:tc>
          <w:tcPr>
            <w:tcW w:w="2694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КФНф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= СК/А </w:t>
            </w:r>
          </w:p>
        </w:tc>
        <w:tc>
          <w:tcPr>
            <w:tcW w:w="3860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КФНд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= </w:t>
            </w: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ДСКд</w:t>
            </w:r>
            <w:proofErr w:type="spellEnd"/>
            <w:proofErr w:type="gramStart"/>
            <w:r w:rsidRPr="00ED6413">
              <w:rPr>
                <w:rFonts w:ascii="Times New Roman" w:hAnsi="Times New Roman" w:cs="Times New Roman"/>
                <w:szCs w:val="24"/>
              </w:rPr>
              <w:t>/А</w:t>
            </w:r>
            <w:proofErr w:type="gramEnd"/>
            <w:r w:rsidRPr="00ED641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175E3" w:rsidRPr="00ED6413" w:rsidTr="00061C06">
        <w:trPr>
          <w:trHeight w:val="691"/>
        </w:trPr>
        <w:tc>
          <w:tcPr>
            <w:tcW w:w="3085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ED6413">
              <w:rPr>
                <w:rFonts w:ascii="Times New Roman" w:hAnsi="Times New Roman" w:cs="Times New Roman"/>
                <w:szCs w:val="24"/>
              </w:rPr>
              <w:t xml:space="preserve">4. Допустимые </w:t>
            </w:r>
            <w:proofErr w:type="spellStart"/>
            <w:proofErr w:type="gramStart"/>
            <w:r w:rsidRPr="00ED6413">
              <w:rPr>
                <w:rFonts w:ascii="Times New Roman" w:hAnsi="Times New Roman" w:cs="Times New Roman"/>
                <w:szCs w:val="24"/>
              </w:rPr>
              <w:t>краткосроч-ные</w:t>
            </w:r>
            <w:proofErr w:type="spellEnd"/>
            <w:proofErr w:type="gramEnd"/>
            <w:r w:rsidRPr="00ED6413">
              <w:rPr>
                <w:rFonts w:ascii="Times New Roman" w:hAnsi="Times New Roman" w:cs="Times New Roman"/>
                <w:szCs w:val="24"/>
              </w:rPr>
              <w:t xml:space="preserve"> обязательства </w:t>
            </w:r>
          </w:p>
        </w:tc>
        <w:tc>
          <w:tcPr>
            <w:tcW w:w="2694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КОф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= раздел </w:t>
            </w:r>
            <w:r w:rsidRPr="00ED6413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ED6413">
              <w:rPr>
                <w:rFonts w:ascii="Times New Roman" w:hAnsi="Times New Roman" w:cs="Times New Roman"/>
                <w:szCs w:val="24"/>
              </w:rPr>
              <w:t xml:space="preserve"> баланса </w:t>
            </w:r>
          </w:p>
        </w:tc>
        <w:tc>
          <w:tcPr>
            <w:tcW w:w="3860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ED6413">
              <w:rPr>
                <w:rFonts w:ascii="Times New Roman" w:hAnsi="Times New Roman" w:cs="Times New Roman"/>
                <w:szCs w:val="24"/>
              </w:rPr>
              <w:t xml:space="preserve">ДКО= </w:t>
            </w: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ОбАф-ЧОКд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175E3" w:rsidRPr="00ED6413" w:rsidTr="00061C06">
        <w:trPr>
          <w:trHeight w:val="716"/>
        </w:trPr>
        <w:tc>
          <w:tcPr>
            <w:tcW w:w="3085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ED6413">
              <w:rPr>
                <w:rFonts w:ascii="Times New Roman" w:hAnsi="Times New Roman" w:cs="Times New Roman"/>
                <w:szCs w:val="24"/>
              </w:rPr>
              <w:t xml:space="preserve">5. Допустимые </w:t>
            </w:r>
            <w:proofErr w:type="spellStart"/>
            <w:proofErr w:type="gramStart"/>
            <w:r w:rsidRPr="00ED6413">
              <w:rPr>
                <w:rFonts w:ascii="Times New Roman" w:hAnsi="Times New Roman" w:cs="Times New Roman"/>
                <w:szCs w:val="24"/>
              </w:rPr>
              <w:t>долгосроч-ные</w:t>
            </w:r>
            <w:proofErr w:type="spellEnd"/>
            <w:proofErr w:type="gramEnd"/>
            <w:r w:rsidRPr="00ED6413">
              <w:rPr>
                <w:rFonts w:ascii="Times New Roman" w:hAnsi="Times New Roman" w:cs="Times New Roman"/>
                <w:szCs w:val="24"/>
              </w:rPr>
              <w:t xml:space="preserve"> обязательства </w:t>
            </w:r>
          </w:p>
        </w:tc>
        <w:tc>
          <w:tcPr>
            <w:tcW w:w="2694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ДОф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=  раздел </w:t>
            </w:r>
            <w:r w:rsidRPr="00ED6413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ED6413">
              <w:rPr>
                <w:rFonts w:ascii="Times New Roman" w:hAnsi="Times New Roman" w:cs="Times New Roman"/>
                <w:szCs w:val="24"/>
              </w:rPr>
              <w:t xml:space="preserve"> баланса </w:t>
            </w:r>
          </w:p>
        </w:tc>
        <w:tc>
          <w:tcPr>
            <w:tcW w:w="3860" w:type="dxa"/>
            <w:hideMark/>
          </w:tcPr>
          <w:p w:rsidR="009175E3" w:rsidRPr="00ED6413" w:rsidRDefault="009175E3" w:rsidP="00061C06">
            <w:pPr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ED6413">
              <w:rPr>
                <w:rFonts w:ascii="Times New Roman" w:hAnsi="Times New Roman" w:cs="Times New Roman"/>
                <w:szCs w:val="24"/>
              </w:rPr>
              <w:t xml:space="preserve">ДДО= </w:t>
            </w:r>
            <w:proofErr w:type="gramStart"/>
            <w:r w:rsidRPr="00ED6413">
              <w:rPr>
                <w:rFonts w:ascii="Times New Roman" w:hAnsi="Times New Roman" w:cs="Times New Roman"/>
                <w:szCs w:val="24"/>
              </w:rPr>
              <w:t>А-</w:t>
            </w:r>
            <w:proofErr w:type="gramEnd"/>
            <w:r w:rsidRPr="00ED6413">
              <w:rPr>
                <w:rFonts w:ascii="Times New Roman" w:hAnsi="Times New Roman" w:cs="Times New Roman"/>
                <w:szCs w:val="24"/>
              </w:rPr>
              <w:t xml:space="preserve">(«нематериальные активы»+ «основные </w:t>
            </w: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средства»+«незавершенное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 строительство»+</w:t>
            </w:r>
            <w:proofErr w:type="spellStart"/>
            <w:r w:rsidRPr="00ED6413">
              <w:rPr>
                <w:rFonts w:ascii="Times New Roman" w:hAnsi="Times New Roman" w:cs="Times New Roman"/>
                <w:szCs w:val="24"/>
              </w:rPr>
              <w:t>ЧОКд+КОф</w:t>
            </w:r>
            <w:proofErr w:type="spellEnd"/>
            <w:r w:rsidRPr="00ED6413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</w:tr>
    </w:tbl>
    <w:p w:rsidR="009175E3" w:rsidRPr="007F0200" w:rsidRDefault="009175E3" w:rsidP="009175E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 xml:space="preserve">Достаточный чистый оборотный капитал, который будет находиться по формуле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ЧОКд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= «сырьё и материалы»+ «затраты в незавершённом производстве». Отметим также необходимость сравнения предложенный достаточных (пороговых) показателей с фактическими, то есть рассчитанными по общепринятым формулам, в частности,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ЧОКф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 = Оборотные актив</w:t>
      </w:r>
      <w:proofErr w:type="gramStart"/>
      <w:r w:rsidRPr="007F02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F0200">
        <w:rPr>
          <w:rFonts w:ascii="Times New Roman" w:hAnsi="Times New Roman" w:cs="Times New Roman"/>
          <w:sz w:val="24"/>
          <w:szCs w:val="24"/>
        </w:rPr>
        <w:t xml:space="preserve"> Краткосрочные обязательства. Чистый оборотный капитал нужен для поддержания финансовой устойчивости компании</w:t>
      </w:r>
      <w:r>
        <w:rPr>
          <w:rFonts w:ascii="Times New Roman" w:hAnsi="Times New Roman" w:cs="Times New Roman"/>
          <w:sz w:val="24"/>
          <w:szCs w:val="24"/>
        </w:rPr>
        <w:t>. Слишком большое значение данного показателя также может отрицательно влиять на устойчивость компании</w:t>
      </w:r>
      <w:r w:rsidRPr="007F0200">
        <w:rPr>
          <w:rFonts w:ascii="Times New Roman" w:hAnsi="Times New Roman" w:cs="Times New Roman"/>
          <w:sz w:val="24"/>
          <w:szCs w:val="24"/>
        </w:rPr>
        <w:t>;</w:t>
      </w:r>
    </w:p>
    <w:p w:rsidR="009175E3" w:rsidRPr="007F0200" w:rsidRDefault="009175E3" w:rsidP="009175E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 xml:space="preserve">Достаточный собственный капитал,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ДСКд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ВнА+ЧОКд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ВнА-внеоборотные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 активы. Напомним, что фактическое значение должно удовлетворять неравенству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ДСКф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 ≥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ДСКд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>;</w:t>
      </w:r>
    </w:p>
    <w:p w:rsidR="009175E3" w:rsidRPr="007F0200" w:rsidRDefault="009175E3" w:rsidP="009175E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 xml:space="preserve">Коэффициент финансовой независимости. Фактическое значение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КФНф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>= СК/А, где С</w:t>
      </w:r>
      <w:proofErr w:type="gramStart"/>
      <w:r w:rsidRPr="007F020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F0200">
        <w:rPr>
          <w:rFonts w:ascii="Times New Roman" w:hAnsi="Times New Roman" w:cs="Times New Roman"/>
          <w:sz w:val="24"/>
          <w:szCs w:val="24"/>
        </w:rPr>
        <w:t xml:space="preserve"> значение строки «собственный капитал», А – значение валюты баланса. Пороговое значение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КФНд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ДСКд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/А. Необходимо выполнение неравенства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КФНф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 ≥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КФНд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>;</w:t>
      </w:r>
    </w:p>
    <w:p w:rsidR="009175E3" w:rsidRPr="007F0200" w:rsidRDefault="009175E3" w:rsidP="009175E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Допустимые краткосрочные обязательства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0200">
        <w:rPr>
          <w:rFonts w:ascii="Times New Roman" w:hAnsi="Times New Roman" w:cs="Times New Roman"/>
          <w:sz w:val="24"/>
          <w:szCs w:val="24"/>
        </w:rPr>
        <w:t xml:space="preserve"> ДКО=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ОбАф-ЧОКд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оборотные активы (фактические)</w:t>
      </w:r>
      <w:r w:rsidRPr="007F0200">
        <w:rPr>
          <w:rFonts w:ascii="Times New Roman" w:hAnsi="Times New Roman" w:cs="Times New Roman"/>
          <w:sz w:val="24"/>
          <w:szCs w:val="24"/>
        </w:rPr>
        <w:t>;</w:t>
      </w:r>
    </w:p>
    <w:p w:rsidR="009175E3" w:rsidRPr="007F0200" w:rsidRDefault="009175E3" w:rsidP="009175E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 xml:space="preserve">Допустимые долгосрочные обязательства; ДДО= </w:t>
      </w:r>
      <w:proofErr w:type="gramStart"/>
      <w:r w:rsidRPr="007F02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F0200">
        <w:rPr>
          <w:rFonts w:ascii="Times New Roman" w:hAnsi="Times New Roman" w:cs="Times New Roman"/>
          <w:sz w:val="24"/>
          <w:szCs w:val="24"/>
        </w:rPr>
        <w:t xml:space="preserve">(«нематериальные активы» + «основные 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средства»+«незавершённое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 xml:space="preserve"> строительство»+</w:t>
      </w:r>
      <w:proofErr w:type="spellStart"/>
      <w:r w:rsidRPr="007F0200">
        <w:rPr>
          <w:rFonts w:ascii="Times New Roman" w:hAnsi="Times New Roman" w:cs="Times New Roman"/>
          <w:sz w:val="24"/>
          <w:szCs w:val="24"/>
        </w:rPr>
        <w:t>ЧОКд+КОф</w:t>
      </w:r>
      <w:proofErr w:type="spellEnd"/>
      <w:r w:rsidRPr="007F0200">
        <w:rPr>
          <w:rFonts w:ascii="Times New Roman" w:hAnsi="Times New Roman" w:cs="Times New Roman"/>
          <w:sz w:val="24"/>
          <w:szCs w:val="24"/>
        </w:rPr>
        <w:t>).</w:t>
      </w:r>
    </w:p>
    <w:p w:rsidR="009175E3" w:rsidRPr="007F0200" w:rsidRDefault="009175E3" w:rsidP="009175E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00">
        <w:rPr>
          <w:rFonts w:ascii="Times New Roman" w:hAnsi="Times New Roman" w:cs="Times New Roman"/>
          <w:sz w:val="24"/>
          <w:szCs w:val="24"/>
        </w:rPr>
        <w:t>Допустимые величины планируются для расчета максимальной ссуды. Таким образом, расширяются возможности анализа баланса предприятия, а также вероятность получения займов для самого предприятия.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Предложив ряд дополнений в Методику Сбербанка, необходимо выяснить, насколько значительно они повлияют на изменение результатов, полученных ранее.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Напомним, что кредитный класс Предприятия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по методике Сбербанка соответствует 3 категории. Проведем анализ с помощью дополненной методики, чтобы увидеть, изменится ли его кредитоспособность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абл. </w:t>
      </w:r>
      <w:r>
        <w:rPr>
          <w:rFonts w:ascii="Times New Roman" w:hAnsi="Times New Roman" w:cs="Times New Roman"/>
          <w:sz w:val="24"/>
          <w:szCs w:val="24"/>
        </w:rPr>
        <w:t>№3)</w:t>
      </w:r>
    </w:p>
    <w:p w:rsidR="00BE2E4B" w:rsidRPr="00ED6413" w:rsidRDefault="00BE2E4B" w:rsidP="00ED6413">
      <w:pPr>
        <w:spacing w:after="0" w:line="240" w:lineRule="auto"/>
        <w:ind w:right="1"/>
        <w:jc w:val="center"/>
        <w:rPr>
          <w:rFonts w:ascii="Times New Roman" w:hAnsi="Times New Roman" w:cs="Times New Roman"/>
          <w:i/>
          <w:szCs w:val="24"/>
        </w:rPr>
      </w:pPr>
      <w:r w:rsidRPr="00ED6413">
        <w:rPr>
          <w:rFonts w:ascii="Times New Roman" w:hAnsi="Times New Roman" w:cs="Times New Roman"/>
          <w:i/>
          <w:szCs w:val="24"/>
        </w:rPr>
        <w:t>Табл.№3. Анализ результатов расчета финансового состояния Предприятия</w:t>
      </w:r>
      <w:proofErr w:type="gramStart"/>
      <w:r w:rsidRPr="00ED6413">
        <w:rPr>
          <w:rFonts w:ascii="Times New Roman" w:hAnsi="Times New Roman" w:cs="Times New Roman"/>
          <w:i/>
          <w:szCs w:val="24"/>
        </w:rPr>
        <w:t xml:space="preserve"> А</w:t>
      </w:r>
      <w:proofErr w:type="gramEnd"/>
      <w:r w:rsidRPr="00ED6413">
        <w:rPr>
          <w:rFonts w:ascii="Times New Roman" w:hAnsi="Times New Roman" w:cs="Times New Roman"/>
          <w:i/>
          <w:szCs w:val="24"/>
        </w:rPr>
        <w:t xml:space="preserve"> на основе дополненной методики</w:t>
      </w:r>
    </w:p>
    <w:tbl>
      <w:tblPr>
        <w:tblStyle w:val="a4"/>
        <w:tblW w:w="9356" w:type="dxa"/>
        <w:tblLayout w:type="fixed"/>
        <w:tblLook w:val="04A0" w:firstRow="1" w:lastRow="0" w:firstColumn="1" w:lastColumn="0" w:noHBand="0" w:noVBand="1"/>
      </w:tblPr>
      <w:tblGrid>
        <w:gridCol w:w="1285"/>
        <w:gridCol w:w="1355"/>
        <w:gridCol w:w="1356"/>
        <w:gridCol w:w="1391"/>
        <w:gridCol w:w="1276"/>
        <w:gridCol w:w="1275"/>
        <w:gridCol w:w="1418"/>
      </w:tblGrid>
      <w:tr w:rsidR="00BE2E4B" w:rsidRPr="00BE2E4B" w:rsidTr="00BE2E4B">
        <w:trPr>
          <w:trHeight w:val="454"/>
        </w:trPr>
        <w:tc>
          <w:tcPr>
            <w:tcW w:w="128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102" w:type="dxa"/>
            <w:gridSpan w:val="3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969" w:type="dxa"/>
            <w:gridSpan w:val="3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Отклонение фактического значения </w:t>
            </w:r>
            <w:proofErr w:type="gramStart"/>
            <w:r w:rsidRPr="00BE2E4B">
              <w:rPr>
                <w:rFonts w:ascii="Times New Roman" w:hAnsi="Times New Roman" w:cs="Times New Roman"/>
              </w:rPr>
              <w:t>от</w:t>
            </w:r>
            <w:proofErr w:type="gramEnd"/>
            <w:r w:rsidRPr="00BE2E4B">
              <w:rPr>
                <w:rFonts w:ascii="Times New Roman" w:hAnsi="Times New Roman" w:cs="Times New Roman"/>
              </w:rPr>
              <w:t xml:space="preserve"> нормативного</w:t>
            </w: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vMerge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∆2008</w:t>
            </w:r>
          </w:p>
        </w:tc>
        <w:tc>
          <w:tcPr>
            <w:tcW w:w="127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∆2009</w:t>
            </w:r>
          </w:p>
        </w:tc>
        <w:tc>
          <w:tcPr>
            <w:tcW w:w="1418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∆2010</w:t>
            </w: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ЧОКф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-311 665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-272 908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-241 508  </w:t>
            </w:r>
          </w:p>
        </w:tc>
        <w:tc>
          <w:tcPr>
            <w:tcW w:w="1276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721 158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555 238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524 057  </w:t>
            </w: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ЧОКд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409 493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282 330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282 549  </w:t>
            </w:r>
          </w:p>
        </w:tc>
        <w:tc>
          <w:tcPr>
            <w:tcW w:w="1276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lastRenderedPageBreak/>
              <w:t>Дскф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162 833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171 516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237 941  </w:t>
            </w:r>
          </w:p>
        </w:tc>
        <w:tc>
          <w:tcPr>
            <w:tcW w:w="1276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1 349 000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1 191 002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528 135  </w:t>
            </w: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ДСКд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1 511 833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1 362 518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766 076  </w:t>
            </w:r>
          </w:p>
        </w:tc>
        <w:tc>
          <w:tcPr>
            <w:tcW w:w="1276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КФНф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0,034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0,035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0,046  </w:t>
            </w:r>
          </w:p>
        </w:tc>
        <w:tc>
          <w:tcPr>
            <w:tcW w:w="1276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0,282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0,244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0,103  </w:t>
            </w: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КФНд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0,316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0,279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0,149  </w:t>
            </w:r>
          </w:p>
        </w:tc>
        <w:tc>
          <w:tcPr>
            <w:tcW w:w="1276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Коф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3 987 576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4 074 864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4 884 835  </w:t>
            </w:r>
          </w:p>
        </w:tc>
        <w:tc>
          <w:tcPr>
            <w:tcW w:w="1276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409 493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282 330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282 549  </w:t>
            </w: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ДКО</w:t>
            </w: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3 578 083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3 792 534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4 602 286  </w:t>
            </w:r>
          </w:p>
        </w:tc>
        <w:tc>
          <w:tcPr>
            <w:tcW w:w="1276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Доф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627 842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635 764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4 078  </w:t>
            </w:r>
          </w:p>
        </w:tc>
        <w:tc>
          <w:tcPr>
            <w:tcW w:w="1276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334 108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203 339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122 285  </w:t>
            </w:r>
          </w:p>
        </w:tc>
      </w:tr>
      <w:tr w:rsidR="00BE2E4B" w:rsidRPr="00BE2E4B" w:rsidTr="00BE2E4B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ДДО</w:t>
            </w: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293 734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432 425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 w:firstLine="35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-118 207  </w:t>
            </w:r>
          </w:p>
        </w:tc>
        <w:tc>
          <w:tcPr>
            <w:tcW w:w="1276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Таким образом, можно сделать вывод о том, что Предприятие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находится в кризисном состоянии, ему немедленно требуется провести мероприятия финансового оздоровления. В кредитных средствах данному предприятию будет отказано.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Отметим: дополненная методика не противоречит действующей Методике Сбербанка, а лишь углубляет её.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Положительным моментом данной методики является ее прозрачность. Речь идёт о том, что владелец предприятия может видеть «проблемные места» организации и исправлять их.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В данном случае наблюдается нехватка чистых оборотных средств, в основном из-за огромной краткосрочной задолженности.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Проанализируе</w:t>
      </w:r>
      <w:r w:rsidR="00ED6413">
        <w:rPr>
          <w:rFonts w:ascii="Times New Roman" w:hAnsi="Times New Roman" w:cs="Times New Roman"/>
          <w:sz w:val="24"/>
          <w:szCs w:val="24"/>
        </w:rPr>
        <w:t>м второе предприятие (табл. №4.</w:t>
      </w:r>
      <w:r w:rsidRPr="00BE2E4B">
        <w:rPr>
          <w:rFonts w:ascii="Times New Roman" w:hAnsi="Times New Roman" w:cs="Times New Roman"/>
          <w:sz w:val="24"/>
          <w:szCs w:val="24"/>
        </w:rPr>
        <w:t>)</w:t>
      </w:r>
    </w:p>
    <w:p w:rsidR="00BE2E4B" w:rsidRPr="00ED6413" w:rsidRDefault="00BE2E4B" w:rsidP="00ED6413">
      <w:pPr>
        <w:spacing w:after="0" w:line="240" w:lineRule="auto"/>
        <w:ind w:right="1"/>
        <w:jc w:val="center"/>
        <w:rPr>
          <w:rFonts w:ascii="Times New Roman" w:hAnsi="Times New Roman" w:cs="Times New Roman"/>
          <w:i/>
          <w:szCs w:val="24"/>
        </w:rPr>
      </w:pPr>
      <w:r w:rsidRPr="00ED6413">
        <w:rPr>
          <w:rFonts w:ascii="Times New Roman" w:hAnsi="Times New Roman" w:cs="Times New Roman"/>
          <w:i/>
          <w:szCs w:val="24"/>
        </w:rPr>
        <w:t>Табл</w:t>
      </w:r>
      <w:r w:rsidR="00ED6413" w:rsidRPr="00ED6413">
        <w:rPr>
          <w:rFonts w:ascii="Times New Roman" w:hAnsi="Times New Roman" w:cs="Times New Roman"/>
          <w:i/>
          <w:szCs w:val="24"/>
        </w:rPr>
        <w:t xml:space="preserve">. №4. </w:t>
      </w:r>
      <w:r w:rsidRPr="00ED6413">
        <w:rPr>
          <w:rFonts w:ascii="Times New Roman" w:hAnsi="Times New Roman" w:cs="Times New Roman"/>
          <w:i/>
          <w:szCs w:val="24"/>
        </w:rPr>
        <w:t>Анализ результатов расчета финансового состояния Предприятия</w:t>
      </w:r>
      <w:proofErr w:type="gramStart"/>
      <w:r w:rsidRPr="00ED6413">
        <w:rPr>
          <w:rFonts w:ascii="Times New Roman" w:hAnsi="Times New Roman" w:cs="Times New Roman"/>
          <w:i/>
          <w:szCs w:val="24"/>
        </w:rPr>
        <w:t xml:space="preserve"> Б</w:t>
      </w:r>
      <w:proofErr w:type="gramEnd"/>
      <w:r w:rsidRPr="00ED6413">
        <w:rPr>
          <w:rFonts w:ascii="Times New Roman" w:hAnsi="Times New Roman" w:cs="Times New Roman"/>
          <w:i/>
          <w:szCs w:val="24"/>
        </w:rPr>
        <w:t xml:space="preserve"> на основе дополненной методики</w:t>
      </w:r>
    </w:p>
    <w:tbl>
      <w:tblPr>
        <w:tblStyle w:val="a4"/>
        <w:tblW w:w="9357" w:type="dxa"/>
        <w:tblLayout w:type="fixed"/>
        <w:tblLook w:val="04A0" w:firstRow="1" w:lastRow="0" w:firstColumn="1" w:lastColumn="0" w:noHBand="0" w:noVBand="1"/>
      </w:tblPr>
      <w:tblGrid>
        <w:gridCol w:w="1285"/>
        <w:gridCol w:w="1355"/>
        <w:gridCol w:w="1356"/>
        <w:gridCol w:w="1391"/>
        <w:gridCol w:w="1277"/>
        <w:gridCol w:w="1275"/>
        <w:gridCol w:w="1418"/>
      </w:tblGrid>
      <w:tr w:rsidR="00BE2E4B" w:rsidRPr="00BE2E4B" w:rsidTr="00ED6413">
        <w:trPr>
          <w:trHeight w:val="454"/>
        </w:trPr>
        <w:tc>
          <w:tcPr>
            <w:tcW w:w="128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102" w:type="dxa"/>
            <w:gridSpan w:val="3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970" w:type="dxa"/>
            <w:gridSpan w:val="3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Отклонение фактического значения </w:t>
            </w:r>
            <w:proofErr w:type="gramStart"/>
            <w:r w:rsidRPr="00BE2E4B">
              <w:rPr>
                <w:rFonts w:ascii="Times New Roman" w:hAnsi="Times New Roman" w:cs="Times New Roman"/>
              </w:rPr>
              <w:t>от</w:t>
            </w:r>
            <w:proofErr w:type="gramEnd"/>
            <w:r w:rsidRPr="00BE2E4B">
              <w:rPr>
                <w:rFonts w:ascii="Times New Roman" w:hAnsi="Times New Roman" w:cs="Times New Roman"/>
              </w:rPr>
              <w:t xml:space="preserve"> нормативного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vMerge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7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∆2008</w:t>
            </w:r>
          </w:p>
        </w:tc>
        <w:tc>
          <w:tcPr>
            <w:tcW w:w="127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∆2009</w:t>
            </w:r>
          </w:p>
        </w:tc>
        <w:tc>
          <w:tcPr>
            <w:tcW w:w="1418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∆2010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ЧОКф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38 016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48 823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50 197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-12 005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-7 984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-14 983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ЧОКд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26 011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40 839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35 214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Дскф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51 118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74 474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73 738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32 944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39 426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13 137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ДСКд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84 062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113 900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86 875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КФНф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0,465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0,539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0,299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0,115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КФНд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0,764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0,824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0,763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Коф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13 981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16 380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11 986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26 011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40 839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35 214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ДКО</w:t>
            </w: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-12 030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-24 459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-23 228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Доф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44 949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47 410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28 120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32 941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39 424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12 937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ДДО</w:t>
            </w: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12 008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7 986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15 183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Рейтинг, присвоенный Предприятию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Методикой Сбербанка, соответствует 2 классу, однако судя по данным табл. 4.2. следует сделать вывод о присвоению этому предприятию класса 3, то есть аналогично первому предприятию, в оформлении кредита ему скорее всего откажут.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И, наконец, проанализируем Предприятие В, у которого класс кредитоспособности – 2, что говорит о рискованности предоставления кредита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>абл</w:t>
      </w:r>
      <w:r w:rsidR="00ED6413">
        <w:rPr>
          <w:rFonts w:ascii="Times New Roman" w:hAnsi="Times New Roman" w:cs="Times New Roman"/>
          <w:sz w:val="24"/>
          <w:szCs w:val="24"/>
        </w:rPr>
        <w:t>. №5)</w:t>
      </w:r>
    </w:p>
    <w:p w:rsidR="00BE2E4B" w:rsidRPr="00ED6413" w:rsidRDefault="00ED6413" w:rsidP="00ED6413">
      <w:pPr>
        <w:spacing w:after="0" w:line="240" w:lineRule="auto"/>
        <w:ind w:right="1"/>
        <w:jc w:val="center"/>
        <w:rPr>
          <w:rFonts w:ascii="Times New Roman" w:hAnsi="Times New Roman" w:cs="Times New Roman"/>
          <w:i/>
          <w:szCs w:val="24"/>
        </w:rPr>
      </w:pPr>
      <w:r w:rsidRPr="00ED6413">
        <w:rPr>
          <w:rFonts w:ascii="Times New Roman" w:hAnsi="Times New Roman" w:cs="Times New Roman"/>
          <w:i/>
          <w:szCs w:val="24"/>
        </w:rPr>
        <w:lastRenderedPageBreak/>
        <w:t xml:space="preserve">Табл. №5. </w:t>
      </w:r>
      <w:r w:rsidR="00BE2E4B" w:rsidRPr="00ED6413">
        <w:rPr>
          <w:rFonts w:ascii="Times New Roman" w:hAnsi="Times New Roman" w:cs="Times New Roman"/>
          <w:i/>
          <w:szCs w:val="24"/>
        </w:rPr>
        <w:t>Анализ результатов расчета финансового состояния Предприятия</w:t>
      </w:r>
      <w:proofErr w:type="gramStart"/>
      <w:r w:rsidR="00BE2E4B" w:rsidRPr="00ED6413">
        <w:rPr>
          <w:rFonts w:ascii="Times New Roman" w:hAnsi="Times New Roman" w:cs="Times New Roman"/>
          <w:i/>
          <w:szCs w:val="24"/>
        </w:rPr>
        <w:t xml:space="preserve"> В</w:t>
      </w:r>
      <w:proofErr w:type="gramEnd"/>
      <w:r w:rsidR="00BE2E4B" w:rsidRPr="00ED6413">
        <w:rPr>
          <w:rFonts w:ascii="Times New Roman" w:hAnsi="Times New Roman" w:cs="Times New Roman"/>
          <w:i/>
          <w:szCs w:val="24"/>
        </w:rPr>
        <w:t xml:space="preserve"> на основе дополненной методики</w:t>
      </w:r>
    </w:p>
    <w:tbl>
      <w:tblPr>
        <w:tblStyle w:val="a4"/>
        <w:tblW w:w="9357" w:type="dxa"/>
        <w:tblLayout w:type="fixed"/>
        <w:tblLook w:val="04A0" w:firstRow="1" w:lastRow="0" w:firstColumn="1" w:lastColumn="0" w:noHBand="0" w:noVBand="1"/>
      </w:tblPr>
      <w:tblGrid>
        <w:gridCol w:w="1285"/>
        <w:gridCol w:w="1355"/>
        <w:gridCol w:w="1356"/>
        <w:gridCol w:w="1391"/>
        <w:gridCol w:w="1277"/>
        <w:gridCol w:w="1275"/>
        <w:gridCol w:w="1418"/>
      </w:tblGrid>
      <w:tr w:rsidR="00BE2E4B" w:rsidRPr="00BE2E4B" w:rsidTr="00ED6413">
        <w:trPr>
          <w:trHeight w:val="454"/>
        </w:trPr>
        <w:tc>
          <w:tcPr>
            <w:tcW w:w="128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102" w:type="dxa"/>
            <w:gridSpan w:val="3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970" w:type="dxa"/>
            <w:gridSpan w:val="3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Отклонение фактического значения </w:t>
            </w:r>
            <w:proofErr w:type="gramStart"/>
            <w:r w:rsidRPr="00BE2E4B">
              <w:rPr>
                <w:rFonts w:ascii="Times New Roman" w:hAnsi="Times New Roman" w:cs="Times New Roman"/>
              </w:rPr>
              <w:t>от</w:t>
            </w:r>
            <w:proofErr w:type="gramEnd"/>
            <w:r w:rsidRPr="00BE2E4B">
              <w:rPr>
                <w:rFonts w:ascii="Times New Roman" w:hAnsi="Times New Roman" w:cs="Times New Roman"/>
              </w:rPr>
              <w:t xml:space="preserve"> нормативного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vMerge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7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 2008</w:t>
            </w:r>
          </w:p>
        </w:tc>
        <w:tc>
          <w:tcPr>
            <w:tcW w:w="127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 2009</w:t>
            </w:r>
          </w:p>
        </w:tc>
        <w:tc>
          <w:tcPr>
            <w:tcW w:w="1418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∆ 2010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ЧОКф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19 325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19 722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29 625  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-18 017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-5 878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-17 778  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ЧОКд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1 308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13 844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11 847  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Дскф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52 681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68 791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76 641  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-18 017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-5 876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-17 776  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ДСКд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34 664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62 915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58 865  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КФНф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0,277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0,187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0,146  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-0,095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-0,016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-0,034  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КФНд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0,182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0,171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0,112  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Коф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137 759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298 892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449 714  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1 308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13 844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11 847  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ДКО</w:t>
            </w: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136 451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285 048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437 867  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E4B">
              <w:rPr>
                <w:rFonts w:ascii="Times New Roman" w:hAnsi="Times New Roman" w:cs="Times New Roman"/>
              </w:rPr>
              <w:t>Доф</w:t>
            </w:r>
            <w:proofErr w:type="spellEnd"/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0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7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-18 035  </w:t>
            </w:r>
          </w:p>
        </w:tc>
        <w:tc>
          <w:tcPr>
            <w:tcW w:w="1275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-5 876  </w:t>
            </w:r>
          </w:p>
        </w:tc>
        <w:tc>
          <w:tcPr>
            <w:tcW w:w="1418" w:type="dxa"/>
            <w:vMerge w:val="restart"/>
            <w:noWrap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-17 776  </w:t>
            </w:r>
          </w:p>
        </w:tc>
      </w:tr>
      <w:tr w:rsidR="00BE2E4B" w:rsidRPr="00BE2E4B" w:rsidTr="00ED6413">
        <w:trPr>
          <w:trHeight w:val="454"/>
        </w:trPr>
        <w:tc>
          <w:tcPr>
            <w:tcW w:w="128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>ДДО</w:t>
            </w:r>
          </w:p>
        </w:tc>
        <w:tc>
          <w:tcPr>
            <w:tcW w:w="1355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18 035  </w:t>
            </w:r>
          </w:p>
        </w:tc>
        <w:tc>
          <w:tcPr>
            <w:tcW w:w="1356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5 878  </w:t>
            </w:r>
          </w:p>
        </w:tc>
        <w:tc>
          <w:tcPr>
            <w:tcW w:w="1391" w:type="dxa"/>
            <w:hideMark/>
          </w:tcPr>
          <w:p w:rsidR="00BE2E4B" w:rsidRPr="00BE2E4B" w:rsidRDefault="00BE2E4B" w:rsidP="00BE2E4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BE2E4B">
              <w:rPr>
                <w:rFonts w:ascii="Times New Roman" w:hAnsi="Times New Roman" w:cs="Times New Roman"/>
              </w:rPr>
              <w:t xml:space="preserve">17 778  </w:t>
            </w:r>
          </w:p>
        </w:tc>
        <w:tc>
          <w:tcPr>
            <w:tcW w:w="1277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BE2E4B" w:rsidRPr="00BE2E4B" w:rsidRDefault="00BE2E4B" w:rsidP="00BE2E4B">
            <w:pPr>
              <w:ind w:right="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Исходя из данных табл</w:t>
      </w:r>
      <w:r w:rsidR="00ED6413">
        <w:rPr>
          <w:rFonts w:ascii="Times New Roman" w:hAnsi="Times New Roman" w:cs="Times New Roman"/>
          <w:sz w:val="24"/>
          <w:szCs w:val="24"/>
        </w:rPr>
        <w:t>. №5</w:t>
      </w:r>
      <w:r w:rsidRPr="00BE2E4B">
        <w:rPr>
          <w:rFonts w:ascii="Times New Roman" w:hAnsi="Times New Roman" w:cs="Times New Roman"/>
          <w:sz w:val="24"/>
          <w:szCs w:val="24"/>
        </w:rPr>
        <w:t xml:space="preserve"> можно сделать вывод, что нормативные коэффициенты, предложенные в методике Сбербанка, жестко ограничивают процесс принятия решения о возможности кредитования субъектов. Предприятие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обладает достаточной финансовой самостоятельностью, хотя допустимый объем краткосрочных обязательств немного выше допустимого (на 1 308 тыс.р. в 2009 г.), в целом оно обладает хорошими перспективами и категория его кредитоспособности может быть повышена на 1 класс. Однако в данном случае стоит придерживаться сдержанной политики и не повышать класс кредитоспособности, так как это сопряжено с повышением риска. То есть без дополнительных исследований (например, анализа бизнес-плана), либо без дополнительных гарантий, таких как поручительство, делать выводы в пользу повышения класса кредитоспособности предприятия не стоит.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Таким образом, итоговые классы кредитоспособности представляются как: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Предприятие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– 3 класс;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Предприятие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– 3 класс;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Предприятие</w:t>
      </w:r>
      <w:proofErr w:type="gramStart"/>
      <w:r w:rsidRPr="00BE2E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2E4B">
        <w:rPr>
          <w:rFonts w:ascii="Times New Roman" w:hAnsi="Times New Roman" w:cs="Times New Roman"/>
          <w:sz w:val="24"/>
          <w:szCs w:val="24"/>
        </w:rPr>
        <w:t xml:space="preserve"> – 2 класс.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Апробировав методику, можно придти к выводу, что предложенные коэффициенты действительно могут внести некоторую ясность в принятие решений о присвоении класса кредитоспособности. Так, было продемонстрировано, что дополнения к методике Сбербанка могут обосновать не только повышение или понижение класса, но и подтверждение его на определенном уровне.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В заключение отметим, что в результате реализации вышеуказанных предложений, достигается определённый положительный эффект, который, прежде всего, распространяется на качество кредитного портфеля банка. Данный эффект заключается в повышении объективности оценки финансового состояния предприятий для целей определения возможности выдачи заёмных средств. Кроме того, повышается прозрачность процедуры оценки кредитоспособности предприятия: его руководство получает возможность увидеть наиболее уязвимые места в финансовом состоянии предприятия. 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 xml:space="preserve">Наряду с обозначенными преимуществами, новая методика обеспечивает индивидуальный подход к каждому предприятию посредством расчёта частных </w:t>
      </w:r>
      <w:r w:rsidRPr="00BE2E4B">
        <w:rPr>
          <w:rFonts w:ascii="Times New Roman" w:hAnsi="Times New Roman" w:cs="Times New Roman"/>
          <w:sz w:val="24"/>
          <w:szCs w:val="24"/>
        </w:rPr>
        <w:lastRenderedPageBreak/>
        <w:t>нормативных коэффициентов. Кроме этого, предлагаемая автором методика является результатом тщательного отбора и обоснования коэффициентов, используемых в признанных методиках и дополнения данного перечня рядом уникальных показателей. Ожидается, что последние заметно упростят процедуру принятия решений об условиях выдачи кредита: сроках, процентных ставках, необходимости залога и др.</w:t>
      </w:r>
    </w:p>
    <w:p w:rsidR="00BE2E4B" w:rsidRPr="00BE2E4B" w:rsidRDefault="00BE2E4B" w:rsidP="00BE2E4B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E4B">
        <w:rPr>
          <w:rFonts w:ascii="Times New Roman" w:hAnsi="Times New Roman" w:cs="Times New Roman"/>
          <w:sz w:val="24"/>
          <w:szCs w:val="24"/>
        </w:rPr>
        <w:t>Отметим: для реализации предложений и рекомендаций, обозначенных в выпускной квалификационной работе, потребуются трудовые и интеллектуальные ресурсы. Кроме того, может возникнуть необходимость привлечения финансовых ресурсов, обусловленная потребностью в более тщательной апробации и адаптации предлагаемой методики к внутренним требованиям финансово-кредитных учреждений.</w:t>
      </w:r>
    </w:p>
    <w:p w:rsidR="009175E3" w:rsidRDefault="009175E3" w:rsidP="009175E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5E3" w:rsidRPr="004276DD" w:rsidRDefault="009175E3" w:rsidP="00ED6413">
      <w:pPr>
        <w:spacing w:after="0" w:line="240" w:lineRule="auto"/>
        <w:ind w:right="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76DD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6413" w:rsidRDefault="00ED6413" w:rsidP="00ED641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13">
        <w:rPr>
          <w:rFonts w:ascii="Times New Roman" w:hAnsi="Times New Roman" w:cs="Times New Roman"/>
          <w:sz w:val="24"/>
          <w:szCs w:val="24"/>
        </w:rPr>
        <w:t xml:space="preserve">1. Анализ кредитоспособности заемщика по методике Сбербанка РФ </w:t>
      </w:r>
    </w:p>
    <w:p w:rsidR="00ED6413" w:rsidRPr="00ED6413" w:rsidRDefault="00ED6413" w:rsidP="00ED641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ED6413">
          <w:rPr>
            <w:rFonts w:ascii="Times New Roman" w:hAnsi="Times New Roman" w:cs="Times New Roman"/>
            <w:sz w:val="24"/>
            <w:szCs w:val="24"/>
          </w:rPr>
          <w:t>http://banknt.ru/?id=109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(09.10.2012)</w:t>
      </w:r>
    </w:p>
    <w:p w:rsidR="00ED6413" w:rsidRPr="00ED6413" w:rsidRDefault="00ED6413" w:rsidP="00ED641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13">
        <w:rPr>
          <w:rFonts w:ascii="Times New Roman" w:hAnsi="Times New Roman" w:cs="Times New Roman"/>
          <w:sz w:val="24"/>
          <w:szCs w:val="24"/>
        </w:rPr>
        <w:t>2. Ямпольский М.М. Об особенностях и проблемах денежно-кредитной политики // Деньги и кредит, 1998. - №7. - С.28-36.</w:t>
      </w:r>
    </w:p>
    <w:p w:rsidR="00AA7E78" w:rsidRDefault="00AA7E78"/>
    <w:sectPr w:rsidR="00AA7E78" w:rsidSect="00AA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01" w:rsidRDefault="00C73B01" w:rsidP="00ED6413">
      <w:pPr>
        <w:spacing w:after="0" w:line="240" w:lineRule="auto"/>
      </w:pPr>
      <w:r>
        <w:separator/>
      </w:r>
    </w:p>
  </w:endnote>
  <w:endnote w:type="continuationSeparator" w:id="0">
    <w:p w:rsidR="00C73B01" w:rsidRDefault="00C73B01" w:rsidP="00E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01" w:rsidRDefault="00C73B01" w:rsidP="00ED6413">
      <w:pPr>
        <w:spacing w:after="0" w:line="240" w:lineRule="auto"/>
      </w:pPr>
      <w:r>
        <w:separator/>
      </w:r>
    </w:p>
  </w:footnote>
  <w:footnote w:type="continuationSeparator" w:id="0">
    <w:p w:rsidR="00C73B01" w:rsidRDefault="00C73B01" w:rsidP="00ED6413">
      <w:pPr>
        <w:spacing w:after="0" w:line="240" w:lineRule="auto"/>
      </w:pPr>
      <w:r>
        <w:continuationSeparator/>
      </w:r>
    </w:p>
  </w:footnote>
  <w:footnote w:id="1">
    <w:p w:rsidR="00ED6413" w:rsidRPr="00ED6413" w:rsidRDefault="00ED6413" w:rsidP="00ED641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ED6413">
        <w:rPr>
          <w:rFonts w:ascii="Times New Roman" w:hAnsi="Times New Roman" w:cs="Times New Roman"/>
          <w:sz w:val="20"/>
          <w:szCs w:val="24"/>
        </w:rPr>
        <w:footnoteRef/>
      </w:r>
      <w:r w:rsidRPr="00ED6413">
        <w:rPr>
          <w:rFonts w:ascii="Times New Roman" w:hAnsi="Times New Roman" w:cs="Times New Roman"/>
          <w:sz w:val="20"/>
          <w:szCs w:val="24"/>
        </w:rPr>
        <w:t xml:space="preserve"> Ямпольский М.М. Об особенностях и проблемах денежно-кредитной политики // Деньги и кредит, 1998. - №7. - С.28-36.</w:t>
      </w:r>
    </w:p>
    <w:p w:rsidR="00ED6413" w:rsidRDefault="00ED6413">
      <w:pPr>
        <w:pStyle w:val="a8"/>
      </w:pPr>
    </w:p>
  </w:footnote>
  <w:footnote w:id="2">
    <w:p w:rsidR="00ED6413" w:rsidRPr="00ED6413" w:rsidRDefault="00ED6413" w:rsidP="00ED6413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4"/>
        </w:rPr>
      </w:pPr>
      <w:r w:rsidRPr="00ED6413">
        <w:rPr>
          <w:rFonts w:ascii="Times New Roman" w:hAnsi="Times New Roman" w:cs="Times New Roman"/>
          <w:sz w:val="20"/>
          <w:szCs w:val="24"/>
        </w:rPr>
        <w:footnoteRef/>
      </w:r>
      <w:r w:rsidRPr="00ED6413">
        <w:rPr>
          <w:rFonts w:ascii="Times New Roman" w:hAnsi="Times New Roman" w:cs="Times New Roman"/>
          <w:sz w:val="20"/>
          <w:szCs w:val="24"/>
        </w:rPr>
        <w:t xml:space="preserve"> Анализ кредитоспособности заемщика по методике Сбербанка РФ </w:t>
      </w:r>
      <w:hyperlink r:id="rId1" w:history="1">
        <w:r w:rsidRPr="00ED6413">
          <w:rPr>
            <w:rFonts w:ascii="Times New Roman" w:hAnsi="Times New Roman" w:cs="Times New Roman"/>
            <w:sz w:val="20"/>
            <w:szCs w:val="24"/>
          </w:rPr>
          <w:t>http://banknt.ru/?id=109</w:t>
        </w:r>
      </w:hyperlink>
    </w:p>
    <w:p w:rsidR="00ED6413" w:rsidRDefault="00ED641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495"/>
    <w:multiLevelType w:val="hybridMultilevel"/>
    <w:tmpl w:val="F87AFE76"/>
    <w:lvl w:ilvl="0" w:tplc="E1CC0C16">
      <w:start w:val="1"/>
      <w:numFmt w:val="decimal"/>
      <w:lvlText w:val="%1)"/>
      <w:lvlJc w:val="left"/>
      <w:pPr>
        <w:ind w:left="946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1">
    <w:nsid w:val="311650B1"/>
    <w:multiLevelType w:val="hybridMultilevel"/>
    <w:tmpl w:val="B7048EF2"/>
    <w:lvl w:ilvl="0" w:tplc="0419000F">
      <w:start w:val="1"/>
      <w:numFmt w:val="decimal"/>
      <w:lvlText w:val="%1."/>
      <w:lvlJc w:val="left"/>
      <w:pPr>
        <w:ind w:left="15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  <w:rPr>
        <w:rFonts w:cs="Times New Roman"/>
      </w:rPr>
    </w:lvl>
  </w:abstractNum>
  <w:abstractNum w:abstractNumId="2">
    <w:nsid w:val="31250999"/>
    <w:multiLevelType w:val="hybridMultilevel"/>
    <w:tmpl w:val="E444C5E4"/>
    <w:lvl w:ilvl="0" w:tplc="712E6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48276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C7687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DDC2D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5EA7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6899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9E2A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84ED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6E22B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B570AC"/>
    <w:multiLevelType w:val="hybridMultilevel"/>
    <w:tmpl w:val="A094E98C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">
    <w:nsid w:val="482C1430"/>
    <w:multiLevelType w:val="hybridMultilevel"/>
    <w:tmpl w:val="E46E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066C3"/>
    <w:multiLevelType w:val="hybridMultilevel"/>
    <w:tmpl w:val="329A8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2E173C"/>
    <w:multiLevelType w:val="hybridMultilevel"/>
    <w:tmpl w:val="17A221A0"/>
    <w:lvl w:ilvl="0" w:tplc="79CE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09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B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64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49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A7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AA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6A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A46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64F22"/>
    <w:multiLevelType w:val="hybridMultilevel"/>
    <w:tmpl w:val="2AFED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E3"/>
    <w:rsid w:val="000A7CBF"/>
    <w:rsid w:val="003D1556"/>
    <w:rsid w:val="009175E3"/>
    <w:rsid w:val="00AA7E78"/>
    <w:rsid w:val="00B34FB7"/>
    <w:rsid w:val="00B70D36"/>
    <w:rsid w:val="00BE2E4B"/>
    <w:rsid w:val="00C03C9A"/>
    <w:rsid w:val="00C73B01"/>
    <w:rsid w:val="00E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E3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917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5E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175E3"/>
    <w:pPr>
      <w:ind w:left="720"/>
      <w:contextualSpacing/>
    </w:pPr>
  </w:style>
  <w:style w:type="table" w:styleId="a4">
    <w:name w:val="Table Grid"/>
    <w:basedOn w:val="a1"/>
    <w:uiPriority w:val="59"/>
    <w:rsid w:val="009175E3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175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E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D64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D6413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D6413"/>
    <w:rPr>
      <w:vertAlign w:val="superscript"/>
    </w:rPr>
  </w:style>
  <w:style w:type="character" w:styleId="ab">
    <w:name w:val="Hyperlink"/>
    <w:basedOn w:val="a0"/>
    <w:rsid w:val="00ED6413"/>
    <w:rPr>
      <w:color w:val="00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E3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917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5E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175E3"/>
    <w:pPr>
      <w:ind w:left="720"/>
      <w:contextualSpacing/>
    </w:pPr>
  </w:style>
  <w:style w:type="table" w:styleId="a4">
    <w:name w:val="Table Grid"/>
    <w:basedOn w:val="a1"/>
    <w:uiPriority w:val="59"/>
    <w:rsid w:val="009175E3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175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E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D64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D6413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D6413"/>
    <w:rPr>
      <w:vertAlign w:val="superscript"/>
    </w:rPr>
  </w:style>
  <w:style w:type="character" w:styleId="ab">
    <w:name w:val="Hyperlink"/>
    <w:basedOn w:val="a0"/>
    <w:rsid w:val="00ED6413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nknt.ru/?id=10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anknt.ru/?id=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867B-468B-4A2B-91D4-8F2CE27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Мираж</dc:creator>
  <cp:lastModifiedBy>Татьяна</cp:lastModifiedBy>
  <cp:revision>2</cp:revision>
  <dcterms:created xsi:type="dcterms:W3CDTF">2012-10-12T11:00:00Z</dcterms:created>
  <dcterms:modified xsi:type="dcterms:W3CDTF">2012-10-12T11:00:00Z</dcterms:modified>
</cp:coreProperties>
</file>